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61" w:rsidRDefault="008E3461"/>
    <w:p w:rsidR="00004103" w:rsidRDefault="00004103" w:rsidP="00004103">
      <w:pPr>
        <w:jc w:val="center"/>
        <w:rPr>
          <w:b/>
          <w:sz w:val="36"/>
          <w:u w:val="single"/>
        </w:rPr>
      </w:pPr>
      <w:r w:rsidRPr="00004103">
        <w:rPr>
          <w:b/>
          <w:sz w:val="36"/>
          <w:u w:val="single"/>
        </w:rPr>
        <w:t>Indoor Infringement Register</w:t>
      </w:r>
    </w:p>
    <w:p w:rsidR="00004103" w:rsidRDefault="00004103" w:rsidP="00004103">
      <w:pPr>
        <w:jc w:val="center"/>
        <w:rPr>
          <w:b/>
          <w:sz w:val="36"/>
          <w:u w:val="single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901"/>
        <w:gridCol w:w="2014"/>
        <w:gridCol w:w="1913"/>
        <w:gridCol w:w="2268"/>
        <w:gridCol w:w="2030"/>
        <w:gridCol w:w="2109"/>
        <w:gridCol w:w="1713"/>
      </w:tblGrid>
      <w:tr w:rsidR="00004103" w:rsidTr="00004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  <w:r>
              <w:rPr>
                <w:b w:val="0"/>
                <w:sz w:val="36"/>
                <w:u w:val="single"/>
              </w:rPr>
              <w:t xml:space="preserve">Date </w:t>
            </w: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>
              <w:rPr>
                <w:b w:val="0"/>
                <w:sz w:val="36"/>
                <w:u w:val="single"/>
              </w:rPr>
              <w:t>League</w:t>
            </w: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>
              <w:rPr>
                <w:b w:val="0"/>
                <w:sz w:val="36"/>
                <w:u w:val="single"/>
              </w:rPr>
              <w:t>Club</w:t>
            </w: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>
              <w:rPr>
                <w:b w:val="0"/>
                <w:sz w:val="36"/>
                <w:u w:val="single"/>
              </w:rPr>
              <w:t>Infringement</w:t>
            </w: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>
              <w:rPr>
                <w:b w:val="0"/>
                <w:sz w:val="36"/>
                <w:u w:val="single"/>
              </w:rPr>
              <w:t>Penalty</w:t>
            </w: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>
              <w:rPr>
                <w:b w:val="0"/>
                <w:sz w:val="36"/>
                <w:u w:val="single"/>
              </w:rPr>
              <w:t>Reported by</w:t>
            </w: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>
              <w:rPr>
                <w:b w:val="0"/>
                <w:sz w:val="36"/>
                <w:u w:val="single"/>
              </w:rPr>
              <w:t xml:space="preserve">TD </w:t>
            </w:r>
          </w:p>
        </w:tc>
      </w:tr>
      <w:tr w:rsidR="00004103" w:rsidTr="00E2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Pr="00004103" w:rsidRDefault="00004103" w:rsidP="00004103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014" w:type="dxa"/>
          </w:tcPr>
          <w:p w:rsidR="00004103" w:rsidRP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913" w:type="dxa"/>
          </w:tcPr>
          <w:p w:rsidR="00004103" w:rsidRP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004103" w:rsidRP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004103" w:rsidRP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9" w:type="dxa"/>
          </w:tcPr>
          <w:p w:rsidR="00004103" w:rsidRP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713" w:type="dxa"/>
          </w:tcPr>
          <w:p w:rsidR="00004103" w:rsidRP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04103" w:rsidTr="00004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  <w:tr w:rsidR="00004103" w:rsidTr="00004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04103" w:rsidRDefault="00004103" w:rsidP="00004103">
            <w:pPr>
              <w:jc w:val="center"/>
              <w:rPr>
                <w:b w:val="0"/>
                <w:sz w:val="36"/>
                <w:u w:val="single"/>
              </w:rPr>
            </w:pPr>
          </w:p>
        </w:tc>
        <w:tc>
          <w:tcPr>
            <w:tcW w:w="2014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9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268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030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2109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  <w:tc>
          <w:tcPr>
            <w:tcW w:w="1713" w:type="dxa"/>
          </w:tcPr>
          <w:p w:rsidR="00004103" w:rsidRDefault="00004103" w:rsidP="0000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</w:tc>
      </w:tr>
    </w:tbl>
    <w:p w:rsidR="00004103" w:rsidRDefault="00004103" w:rsidP="00004103">
      <w:pPr>
        <w:jc w:val="center"/>
        <w:rPr>
          <w:b/>
          <w:sz w:val="36"/>
          <w:u w:val="single"/>
        </w:rPr>
      </w:pPr>
    </w:p>
    <w:p w:rsidR="00004103" w:rsidRDefault="00004103" w:rsidP="00004103">
      <w:pPr>
        <w:jc w:val="center"/>
        <w:rPr>
          <w:b/>
          <w:sz w:val="36"/>
          <w:u w:val="single"/>
        </w:rPr>
      </w:pPr>
    </w:p>
    <w:p w:rsidR="00004103" w:rsidRDefault="00004103" w:rsidP="00004103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Possible Infringements and Penalties Relating</w:t>
      </w:r>
    </w:p>
    <w:p w:rsidR="00004103" w:rsidRPr="00D56D46" w:rsidRDefault="008D4EC4" w:rsidP="00004103">
      <w:pPr>
        <w:rPr>
          <w:sz w:val="28"/>
        </w:rPr>
      </w:pPr>
      <w:r w:rsidRPr="00D56D46">
        <w:rPr>
          <w:sz w:val="28"/>
        </w:rPr>
        <w:t xml:space="preserve">Below is a summary which details possible infringements and penalties attached to this, please be aware this list is not exhaustive. </w:t>
      </w:r>
      <w:r w:rsidR="00D56D46" w:rsidRPr="00D56D46">
        <w:rPr>
          <w:sz w:val="28"/>
        </w:rPr>
        <w:t>Please note any other infringements an</w:t>
      </w:r>
      <w:r w:rsidR="00D56D46">
        <w:rPr>
          <w:sz w:val="28"/>
        </w:rPr>
        <w:t>d refer to the Competition and E</w:t>
      </w:r>
      <w:r w:rsidR="00D56D46" w:rsidRPr="00D56D46">
        <w:rPr>
          <w:sz w:val="28"/>
        </w:rPr>
        <w:t xml:space="preserve">vents </w:t>
      </w:r>
      <w:r w:rsidR="00D56D46">
        <w:rPr>
          <w:sz w:val="28"/>
        </w:rPr>
        <w:t>M</w:t>
      </w:r>
      <w:r w:rsidR="00D56D46" w:rsidRPr="00D56D46">
        <w:rPr>
          <w:sz w:val="28"/>
        </w:rPr>
        <w:t>anager as soon as possible.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232"/>
        <w:gridCol w:w="7716"/>
      </w:tblGrid>
      <w:tr w:rsidR="00004103" w:rsidTr="00C20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004103" w:rsidRDefault="00004103" w:rsidP="00004103">
            <w:pPr>
              <w:rPr>
                <w:b w:val="0"/>
                <w:sz w:val="36"/>
                <w:u w:val="single"/>
              </w:rPr>
            </w:pPr>
            <w:r>
              <w:rPr>
                <w:b w:val="0"/>
                <w:sz w:val="36"/>
                <w:u w:val="single"/>
              </w:rPr>
              <w:t>Infringement</w:t>
            </w:r>
          </w:p>
        </w:tc>
        <w:tc>
          <w:tcPr>
            <w:tcW w:w="7716" w:type="dxa"/>
          </w:tcPr>
          <w:p w:rsidR="00004103" w:rsidRDefault="00004103" w:rsidP="000041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>
              <w:rPr>
                <w:b w:val="0"/>
                <w:sz w:val="36"/>
                <w:u w:val="single"/>
              </w:rPr>
              <w:t>Relating Penalty</w:t>
            </w:r>
          </w:p>
        </w:tc>
      </w:tr>
      <w:tr w:rsidR="00004103" w:rsidTr="00C2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004103" w:rsidRPr="00004103" w:rsidRDefault="00004103" w:rsidP="00004103">
            <w:pPr>
              <w:rPr>
                <w:b w:val="0"/>
                <w:sz w:val="36"/>
              </w:rPr>
            </w:pPr>
            <w:r w:rsidRPr="00004103">
              <w:rPr>
                <w:b w:val="0"/>
                <w:sz w:val="36"/>
              </w:rPr>
              <w:t>Failure to fulfil fixture</w:t>
            </w:r>
            <w:r w:rsidR="00F3060A">
              <w:rPr>
                <w:b w:val="0"/>
                <w:sz w:val="36"/>
              </w:rPr>
              <w:t xml:space="preserve"> (3.1f)</w:t>
            </w:r>
          </w:p>
        </w:tc>
        <w:tc>
          <w:tcPr>
            <w:tcW w:w="7716" w:type="dxa"/>
          </w:tcPr>
          <w:p w:rsidR="00004103" w:rsidRPr="00004103" w:rsidRDefault="00C20155" w:rsidP="00004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£100 fine /0-10/ point deductions</w:t>
            </w:r>
          </w:p>
        </w:tc>
      </w:tr>
      <w:tr w:rsidR="00004103" w:rsidTr="00C2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004103" w:rsidRPr="00004103" w:rsidRDefault="00C20155" w:rsidP="00004103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Falsifying MRF</w:t>
            </w:r>
            <w:r w:rsidR="00F3060A">
              <w:rPr>
                <w:b w:val="0"/>
                <w:sz w:val="36"/>
              </w:rPr>
              <w:t xml:space="preserve"> (3.1h)</w:t>
            </w:r>
          </w:p>
        </w:tc>
        <w:tc>
          <w:tcPr>
            <w:tcW w:w="7716" w:type="dxa"/>
          </w:tcPr>
          <w:p w:rsidR="00004103" w:rsidRPr="00004103" w:rsidRDefault="00C20155" w:rsidP="00004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Point deduction/player suspension defined by CEM</w:t>
            </w:r>
          </w:p>
        </w:tc>
      </w:tr>
      <w:tr w:rsidR="00004103" w:rsidTr="00C2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004103" w:rsidRPr="00004103" w:rsidRDefault="00C20155" w:rsidP="00004103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Fielding ineligible player</w:t>
            </w:r>
            <w:r w:rsidR="00F3060A">
              <w:rPr>
                <w:b w:val="0"/>
                <w:sz w:val="36"/>
              </w:rPr>
              <w:t xml:space="preserve"> (3.1m)</w:t>
            </w:r>
          </w:p>
        </w:tc>
        <w:tc>
          <w:tcPr>
            <w:tcW w:w="7716" w:type="dxa"/>
          </w:tcPr>
          <w:p w:rsidR="00004103" w:rsidRPr="00004103" w:rsidRDefault="00C20155" w:rsidP="00004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£25/0-10/3 points deducted</w:t>
            </w:r>
          </w:p>
        </w:tc>
      </w:tr>
      <w:tr w:rsidR="00C20155" w:rsidTr="00C2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20155" w:rsidRDefault="00C20155" w:rsidP="00004103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Fielding unregistered player</w:t>
            </w:r>
            <w:r w:rsidR="00F3060A">
              <w:rPr>
                <w:b w:val="0"/>
                <w:sz w:val="36"/>
              </w:rPr>
              <w:t xml:space="preserve"> (3.1n)</w:t>
            </w:r>
          </w:p>
        </w:tc>
        <w:tc>
          <w:tcPr>
            <w:tcW w:w="7716" w:type="dxa"/>
          </w:tcPr>
          <w:p w:rsidR="00C20155" w:rsidRDefault="00C20155" w:rsidP="00004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£25</w:t>
            </w:r>
          </w:p>
        </w:tc>
      </w:tr>
      <w:tr w:rsidR="00C20155" w:rsidTr="00C2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20155" w:rsidRDefault="00C20155" w:rsidP="00004103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Umpire Failure to fulfil</w:t>
            </w:r>
            <w:r w:rsidR="00F3060A">
              <w:rPr>
                <w:b w:val="0"/>
                <w:sz w:val="36"/>
              </w:rPr>
              <w:t xml:space="preserve"> (8.2.9)</w:t>
            </w:r>
          </w:p>
        </w:tc>
        <w:tc>
          <w:tcPr>
            <w:tcW w:w="7716" w:type="dxa"/>
          </w:tcPr>
          <w:p w:rsidR="00C20155" w:rsidRDefault="00C20155" w:rsidP="00004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£100/3 point deduction from club</w:t>
            </w:r>
          </w:p>
        </w:tc>
      </w:tr>
      <w:tr w:rsidR="00C20155" w:rsidTr="00C2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20155" w:rsidRDefault="00C20155" w:rsidP="00004103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Umpire Failure to fulfil – Late</w:t>
            </w:r>
            <w:r w:rsidR="00F3060A">
              <w:rPr>
                <w:b w:val="0"/>
                <w:sz w:val="36"/>
              </w:rPr>
              <w:t>(8.2.9)</w:t>
            </w:r>
          </w:p>
        </w:tc>
        <w:tc>
          <w:tcPr>
            <w:tcW w:w="7716" w:type="dxa"/>
          </w:tcPr>
          <w:p w:rsidR="00C20155" w:rsidRDefault="00C20155" w:rsidP="00004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£60/ 1 point deduction from club</w:t>
            </w:r>
          </w:p>
        </w:tc>
      </w:tr>
      <w:tr w:rsidR="00C20155" w:rsidTr="00C2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20155" w:rsidRDefault="00C20155" w:rsidP="00004103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Umpire change – not approved</w:t>
            </w:r>
            <w:r w:rsidR="00F3060A">
              <w:rPr>
                <w:b w:val="0"/>
                <w:sz w:val="36"/>
              </w:rPr>
              <w:t>(8.2.9)</w:t>
            </w:r>
          </w:p>
        </w:tc>
        <w:tc>
          <w:tcPr>
            <w:tcW w:w="7716" w:type="dxa"/>
          </w:tcPr>
          <w:p w:rsidR="00C20155" w:rsidRDefault="00C20155" w:rsidP="00004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£50/ 1 point deduction from club</w:t>
            </w:r>
          </w:p>
        </w:tc>
      </w:tr>
      <w:tr w:rsidR="00C20155" w:rsidTr="00C2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20155" w:rsidRDefault="00D2502D" w:rsidP="00004103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Failure to supply Table assistants – First instance</w:t>
            </w:r>
            <w:r w:rsidR="00040490">
              <w:rPr>
                <w:b w:val="0"/>
                <w:sz w:val="36"/>
              </w:rPr>
              <w:t xml:space="preserve"> (8.5.3)</w:t>
            </w:r>
          </w:p>
        </w:tc>
        <w:tc>
          <w:tcPr>
            <w:tcW w:w="7716" w:type="dxa"/>
          </w:tcPr>
          <w:p w:rsidR="00C20155" w:rsidRDefault="00D2502D" w:rsidP="00004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£25</w:t>
            </w:r>
          </w:p>
        </w:tc>
      </w:tr>
      <w:tr w:rsidR="00D2502D" w:rsidTr="00C2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2502D" w:rsidRDefault="00D2502D" w:rsidP="00004103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Failure to supply Table Assistants – Reoccurrence</w:t>
            </w:r>
            <w:r w:rsidR="00040490">
              <w:rPr>
                <w:b w:val="0"/>
                <w:sz w:val="36"/>
              </w:rPr>
              <w:t>(8.5.3)</w:t>
            </w:r>
          </w:p>
        </w:tc>
        <w:tc>
          <w:tcPr>
            <w:tcW w:w="7716" w:type="dxa"/>
          </w:tcPr>
          <w:p w:rsidR="00D2502D" w:rsidRDefault="00D2502D" w:rsidP="00004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£75/1 point</w:t>
            </w:r>
          </w:p>
        </w:tc>
      </w:tr>
      <w:tr w:rsidR="00E26736" w:rsidTr="00C2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26736" w:rsidRDefault="00E26736" w:rsidP="00004103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National 1 – No Non playing Manager</w:t>
            </w:r>
            <w:r w:rsidR="00040490">
              <w:rPr>
                <w:b w:val="0"/>
                <w:sz w:val="36"/>
              </w:rPr>
              <w:t xml:space="preserve"> (12.3.8)</w:t>
            </w:r>
            <w:bookmarkStart w:id="0" w:name="_GoBack"/>
            <w:bookmarkEnd w:id="0"/>
          </w:p>
        </w:tc>
        <w:tc>
          <w:tcPr>
            <w:tcW w:w="7716" w:type="dxa"/>
          </w:tcPr>
          <w:p w:rsidR="00E26736" w:rsidRDefault="00E26736" w:rsidP="00004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1 Point</w:t>
            </w:r>
          </w:p>
        </w:tc>
      </w:tr>
    </w:tbl>
    <w:p w:rsidR="00004103" w:rsidRPr="008D4EC4" w:rsidRDefault="00004103" w:rsidP="00D56D46">
      <w:pPr>
        <w:pStyle w:val="ListParagraph"/>
        <w:rPr>
          <w:b/>
          <w:sz w:val="36"/>
          <w:u w:val="single"/>
        </w:rPr>
      </w:pPr>
    </w:p>
    <w:sectPr w:rsidR="00004103" w:rsidRPr="008D4EC4" w:rsidSect="0000410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03" w:rsidRDefault="00004103" w:rsidP="00004103">
      <w:pPr>
        <w:spacing w:after="0" w:line="240" w:lineRule="auto"/>
      </w:pPr>
      <w:r>
        <w:separator/>
      </w:r>
    </w:p>
  </w:endnote>
  <w:endnote w:type="continuationSeparator" w:id="0">
    <w:p w:rsidR="00004103" w:rsidRDefault="00004103" w:rsidP="0000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03" w:rsidRDefault="00004103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-148590</wp:posOffset>
          </wp:positionV>
          <wp:extent cx="2390775" cy="590550"/>
          <wp:effectExtent l="0" t="0" r="9525" b="0"/>
          <wp:wrapNone/>
          <wp:docPr id="2" name="Picture 2" descr="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" t="51414" r="631" b="28663"/>
                  <a:stretch/>
                </pic:blipFill>
                <pic:spPr bwMode="auto">
                  <a:xfrm>
                    <a:off x="0" y="0"/>
                    <a:ext cx="2390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03" w:rsidRDefault="00004103" w:rsidP="00004103">
      <w:pPr>
        <w:spacing w:after="0" w:line="240" w:lineRule="auto"/>
      </w:pPr>
      <w:r>
        <w:separator/>
      </w:r>
    </w:p>
  </w:footnote>
  <w:footnote w:type="continuationSeparator" w:id="0">
    <w:p w:rsidR="00004103" w:rsidRDefault="00004103" w:rsidP="0000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03" w:rsidRDefault="0000410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7019925</wp:posOffset>
          </wp:positionH>
          <wp:positionV relativeFrom="paragraph">
            <wp:posOffset>-12065</wp:posOffset>
          </wp:positionV>
          <wp:extent cx="2133600" cy="1000125"/>
          <wp:effectExtent l="0" t="0" r="0" b="9525"/>
          <wp:wrapNone/>
          <wp:docPr id="1" name="Picture 1" descr="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04" r="11672" b="55656"/>
                  <a:stretch/>
                </pic:blipFill>
                <pic:spPr bwMode="auto">
                  <a:xfrm>
                    <a:off x="0" y="0"/>
                    <a:ext cx="2133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103" w:rsidRDefault="00004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C4393"/>
    <w:multiLevelType w:val="hybridMultilevel"/>
    <w:tmpl w:val="80CA4792"/>
    <w:lvl w:ilvl="0" w:tplc="32E04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03"/>
    <w:rsid w:val="00004103"/>
    <w:rsid w:val="00040490"/>
    <w:rsid w:val="008D4EC4"/>
    <w:rsid w:val="008E3461"/>
    <w:rsid w:val="00C20155"/>
    <w:rsid w:val="00D2502D"/>
    <w:rsid w:val="00D56D46"/>
    <w:rsid w:val="00E26736"/>
    <w:rsid w:val="00F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2ACF52-87B7-4EA4-B2CA-C09B673B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03"/>
  </w:style>
  <w:style w:type="paragraph" w:styleId="Footer">
    <w:name w:val="footer"/>
    <w:basedOn w:val="Normal"/>
    <w:link w:val="FooterChar"/>
    <w:uiPriority w:val="99"/>
    <w:unhideWhenUsed/>
    <w:rsid w:val="0000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03"/>
  </w:style>
  <w:style w:type="table" w:styleId="TableGrid">
    <w:name w:val="Table Grid"/>
    <w:basedOn w:val="TableNormal"/>
    <w:uiPriority w:val="39"/>
    <w:rsid w:val="0000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041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0041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8D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Hockey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Fowler</dc:creator>
  <cp:keywords/>
  <dc:description/>
  <cp:lastModifiedBy>Kirsty Fowler</cp:lastModifiedBy>
  <cp:revision>3</cp:revision>
  <dcterms:created xsi:type="dcterms:W3CDTF">2016-12-13T11:35:00Z</dcterms:created>
  <dcterms:modified xsi:type="dcterms:W3CDTF">2016-12-15T15:25:00Z</dcterms:modified>
</cp:coreProperties>
</file>