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C0EC4" w14:textId="0850F6F9" w:rsidR="00DE111F" w:rsidRDefault="00DE111F">
      <w:r>
        <w:rPr>
          <w:noProof/>
          <w:lang w:eastAsia="en-GB"/>
        </w:rPr>
        <mc:AlternateContent>
          <mc:Choice Requires="wps">
            <w:drawing>
              <wp:anchor distT="45720" distB="45720" distL="114300" distR="114300" simplePos="0" relativeHeight="251668480" behindDoc="0" locked="0" layoutInCell="1" allowOverlap="1" wp14:anchorId="251F5532" wp14:editId="3E14357B">
                <wp:simplePos x="0" y="0"/>
                <wp:positionH relativeFrom="margin">
                  <wp:posOffset>0</wp:posOffset>
                </wp:positionH>
                <wp:positionV relativeFrom="paragraph">
                  <wp:posOffset>330200</wp:posOffset>
                </wp:positionV>
                <wp:extent cx="4951095" cy="2346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095" cy="2346325"/>
                        </a:xfrm>
                        <a:prstGeom prst="rect">
                          <a:avLst/>
                        </a:prstGeom>
                        <a:noFill/>
                        <a:ln w="9525">
                          <a:noFill/>
                          <a:miter lim="800000"/>
                          <a:headEnd/>
                          <a:tailEnd/>
                        </a:ln>
                      </wps:spPr>
                      <wps:txbx>
                        <w:txbxContent>
                          <w:p w14:paraId="41298829" w14:textId="0D1359C0" w:rsidR="00DE111F" w:rsidRPr="00DE111F" w:rsidRDefault="007F1BDE" w:rsidP="00DE111F">
                            <w:pPr>
                              <w:spacing w:line="240" w:lineRule="auto"/>
                              <w:rPr>
                                <w:b/>
                                <w:bCs/>
                                <w:color w:val="00A9CE"/>
                                <w:sz w:val="144"/>
                                <w:szCs w:val="144"/>
                              </w:rPr>
                            </w:pPr>
                            <w:r>
                              <w:rPr>
                                <w:b/>
                                <w:bCs/>
                                <w:color w:val="00A9CE"/>
                                <w:sz w:val="96"/>
                                <w:szCs w:val="96"/>
                              </w:rPr>
                              <w:t>Duty of Candour Annual Report</w:t>
                            </w:r>
                            <w:r w:rsidR="006122FF">
                              <w:rPr>
                                <w:b/>
                                <w:bCs/>
                                <w:color w:val="00A9CE"/>
                                <w:sz w:val="96"/>
                                <w:szCs w:val="9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1F5532" id="_x0000_t202" coordsize="21600,21600" o:spt="202" path="m,l,21600r21600,l21600,xe">
                <v:stroke joinstyle="miter"/>
                <v:path gradientshapeok="t" o:connecttype="rect"/>
              </v:shapetype>
              <v:shape id="Text Box 2" o:spid="_x0000_s1026" type="#_x0000_t202" style="position:absolute;margin-left:0;margin-top:26pt;width:389.85pt;height:184.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qr+AEAAM4DAAAOAAAAZHJzL2Uyb0RvYy54bWysU8tu2zAQvBfoPxC815IdO40Fy0GaNEWB&#10;9AGk/YA1RVlESS5L0pbcr8+SchwjvRXVgeBqydmd2eHqejCa7aUPCm3Np5OSM2kFNspua/7zx/27&#10;K85CBNuARitrfpCBX6/fvln1rpIz7FA30jMCsaHqXc27GF1VFEF00kCYoJOWki16A5FCvy0aDz2h&#10;G13MyvKy6NE3zqOQIdDfuzHJ1xm/baWI39o2yMh0zam3mFef101ai/UKqq0H1ylxbAP+oQsDylLR&#10;E9QdRGA7r/6CMkp4DNjGiUBTYNsqITMHYjMtX7F57MDJzIXECe4kU/h/sOLr/tF99ywOH3CgAWYS&#10;wT2g+BWYxdsO7FbeeI99J6GhwtMkWdG7UB2vJqlDFRLIpv+CDQ0ZdhEz0NB6k1QhnozQaQCHk+hy&#10;iEzQz/lyMS2XC84E5WYX88uL2SLXgOr5uvMhfpJoWNrU3NNUMzzsH0JM7UD1fCRVs3ivtM6T1Zb1&#10;NV8uCPJVxqhIxtPK1PyqTN9ohcTyo23y5QhKj3sqoO2RdmI6co7DZqCDif4GmwMJ4HE0GD0I2nTo&#10;/3DWk7lqHn7vwEvO9GdLIi6n83lyYw7mi/czCvx5ZnOeASsIquaRs3F7G7ODR0Y3JHarsgwvnRx7&#10;JdNkdY4GT648j/Opl2e4fgIAAP//AwBQSwMEFAAGAAgAAAAhAI4P8fPcAAAABwEAAA8AAABkcnMv&#10;ZG93bnJldi54bWxMj0FLw0AQhe+C/2EZwZvdbWhMGzMponhVrFrwtk2mSTA7G7LbJv57x5Oehsd7&#10;vPdNsZ1dr840hs4zwnJhQBFXvu64QXh/e7pZgwrRcm17z4TwTQG25eVFYfPaT/xK511slJRwyC1C&#10;G+OQax2qlpwNCz8Qi3f0o7NR5NjoerSTlLteJ8bcamc7loXWDvTQUvW1OzmEj+fj535lXppHlw6T&#10;n41mt9GI11fz/R2oSHP8C8MvvqBDKUwHf+I6qB5BHokIaSJX3CzbZKAOCKtkmYIuC/2fv/wBAAD/&#10;/wMAUEsBAi0AFAAGAAgAAAAhALaDOJL+AAAA4QEAABMAAAAAAAAAAAAAAAAAAAAAAFtDb250ZW50&#10;X1R5cGVzXS54bWxQSwECLQAUAAYACAAAACEAOP0h/9YAAACUAQAACwAAAAAAAAAAAAAAAAAvAQAA&#10;X3JlbHMvLnJlbHNQSwECLQAUAAYACAAAACEAWEhqq/gBAADOAwAADgAAAAAAAAAAAAAAAAAuAgAA&#10;ZHJzL2Uyb0RvYy54bWxQSwECLQAUAAYACAAAACEAjg/x89wAAAAHAQAADwAAAAAAAAAAAAAAAABS&#10;BAAAZHJzL2Rvd25yZXYueG1sUEsFBgAAAAAEAAQA8wAAAFsFAAAAAA==&#10;" filled="f" stroked="f">
                <v:textbox>
                  <w:txbxContent>
                    <w:p w14:paraId="41298829" w14:textId="0D1359C0" w:rsidR="00DE111F" w:rsidRPr="00DE111F" w:rsidRDefault="007F1BDE" w:rsidP="00DE111F">
                      <w:pPr>
                        <w:spacing w:line="240" w:lineRule="auto"/>
                        <w:rPr>
                          <w:b/>
                          <w:bCs/>
                          <w:color w:val="00A9CE"/>
                          <w:sz w:val="144"/>
                          <w:szCs w:val="144"/>
                        </w:rPr>
                      </w:pPr>
                      <w:r>
                        <w:rPr>
                          <w:b/>
                          <w:bCs/>
                          <w:color w:val="00A9CE"/>
                          <w:sz w:val="96"/>
                          <w:szCs w:val="96"/>
                        </w:rPr>
                        <w:t>Duty of Candour Annual Report</w:t>
                      </w:r>
                      <w:r w:rsidR="006122FF">
                        <w:rPr>
                          <w:b/>
                          <w:bCs/>
                          <w:color w:val="00A9CE"/>
                          <w:sz w:val="96"/>
                          <w:szCs w:val="96"/>
                        </w:rPr>
                        <w:t xml:space="preserve"> </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9504" behindDoc="0" locked="0" layoutInCell="1" allowOverlap="1" wp14:anchorId="2854931D" wp14:editId="4F9C9ACC">
                <wp:simplePos x="0" y="0"/>
                <wp:positionH relativeFrom="margin">
                  <wp:posOffset>0</wp:posOffset>
                </wp:positionH>
                <wp:positionV relativeFrom="paragraph">
                  <wp:posOffset>2742565</wp:posOffset>
                </wp:positionV>
                <wp:extent cx="4951095" cy="1353820"/>
                <wp:effectExtent l="0" t="0" r="0" b="0"/>
                <wp:wrapSquare wrapText="bothSides"/>
                <wp:docPr id="15848068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095" cy="1353820"/>
                        </a:xfrm>
                        <a:prstGeom prst="rect">
                          <a:avLst/>
                        </a:prstGeom>
                        <a:noFill/>
                        <a:ln w="9525">
                          <a:noFill/>
                          <a:miter lim="800000"/>
                          <a:headEnd/>
                          <a:tailEnd/>
                        </a:ln>
                      </wps:spPr>
                      <wps:txbx>
                        <w:txbxContent>
                          <w:p w14:paraId="71597052" w14:textId="24664AAF" w:rsidR="00DE111F" w:rsidRPr="00DE111F" w:rsidRDefault="006122FF" w:rsidP="00DE111F">
                            <w:pPr>
                              <w:spacing w:line="240" w:lineRule="auto"/>
                              <w:rPr>
                                <w:color w:val="002554"/>
                                <w:sz w:val="72"/>
                                <w:szCs w:val="72"/>
                              </w:rPr>
                            </w:pPr>
                            <w:r>
                              <w:rPr>
                                <w:color w:val="002554"/>
                                <w:sz w:val="72"/>
                                <w:szCs w:val="72"/>
                              </w:rPr>
                              <w:t>202</w:t>
                            </w:r>
                            <w:r w:rsidR="000B25AA">
                              <w:rPr>
                                <w:color w:val="002554"/>
                                <w:sz w:val="72"/>
                                <w:szCs w:val="72"/>
                              </w:rPr>
                              <w:t>4</w:t>
                            </w:r>
                            <w:r>
                              <w:rPr>
                                <w:color w:val="002554"/>
                                <w:sz w:val="72"/>
                                <w:szCs w:val="72"/>
                              </w:rPr>
                              <w:t>-202</w:t>
                            </w:r>
                            <w:r w:rsidR="000B25AA">
                              <w:rPr>
                                <w:color w:val="002554"/>
                                <w:sz w:val="72"/>
                                <w:szCs w:val="7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4931D" id="_x0000_s1027" type="#_x0000_t202" style="position:absolute;margin-left:0;margin-top:215.95pt;width:389.85pt;height:106.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spq/AEAANUDAAAOAAAAZHJzL2Uyb0RvYy54bWysU9uO2yAQfa/Uf0C8N7azcZtYcVbb3W5V&#10;aXuRtv0AjHGMCgwFEjv9+h2wNxu1b1X9gAbGnJlz5rC9HrUiR+G8BFPTYpFTIgyHVpp9TX98v3+z&#10;psQHZlqmwIianoSn17vXr7aDrcQSelCtcARBjK8GW9M+BFtlmee90MwvwAqDyQ6cZgG3bp+1jg2I&#10;rlW2zPO32QCutQ648B5P76Yk3SX8rhM8fO06LwJRNcXeQlpdWpu4Zrstq/aO2V7yuQ32D11oJg0W&#10;PUPdscDIwcm/oLTkDjx0YcFBZ9B1kovEAdkU+R9sHntmReKC4nh7lsn/P1j+5fhovzkSxvcw4gAT&#10;CW8fgP/0xMBtz8xe3DgHQy9Yi4WLKFk2WF/NV6PUvvIRpBk+Q4tDZocACWjsnI6qIE+C6DiA01l0&#10;MQbC8XC1KYt8U1LCMVdclVfrZRpLxqrn69b58FGAJjGoqcOpJnh2fPAhtsOq519iNQP3Uqk0WWXI&#10;UNNNuSzThYuMlgGNp6Su6TqP32SFyPKDadPlwKSaYiygzEw7Mp04h7EZiWxnTaIKDbQn1MHB5DN8&#10;Fxj04H5TMqDHaup/HZgTlKhPBrXcFKtVNGXarMp3SJy4y0xzmWGGI1RNAyVTeBuSkSfKN6h5J5Ma&#10;L53MLaN3kkizz6M5L/fpr5fXuHsCAAD//wMAUEsDBBQABgAIAAAAIQD3yZhT3QAAAAgBAAAPAAAA&#10;ZHJzL2Rvd25yZXYueG1sTI/BTsMwEETvSPyDtUjcqB1ImyZkUyEQV1ALVOLmxtskIl5HsduEv8ec&#10;4Dia0cybcjPbXpxp9J1jhGShQBDXznTcILy/Pd+sQfig2ejeMSF8k4dNdXlR6sK4ibd03oVGxBL2&#10;hUZoQxgKKX3dktV+4Qbi6B3daHWIcmykGfUUy20vb5VaSas7jgutHuixpfprd7IIHy/Hz32qXpsn&#10;uxwmNyvJNpeI11fzwz2IQHP4C8MvfkSHKjId3ImNFz1CPBIQ0rskBxHtLMszEAeEVbpMQFal/H+g&#10;+gEAAP//AwBQSwECLQAUAAYACAAAACEAtoM4kv4AAADhAQAAEwAAAAAAAAAAAAAAAAAAAAAAW0Nv&#10;bnRlbnRfVHlwZXNdLnhtbFBLAQItABQABgAIAAAAIQA4/SH/1gAAAJQBAAALAAAAAAAAAAAAAAAA&#10;AC8BAABfcmVscy8ucmVsc1BLAQItABQABgAIAAAAIQAf3spq/AEAANUDAAAOAAAAAAAAAAAAAAAA&#10;AC4CAABkcnMvZTJvRG9jLnhtbFBLAQItABQABgAIAAAAIQD3yZhT3QAAAAgBAAAPAAAAAAAAAAAA&#10;AAAAAFYEAABkcnMvZG93bnJldi54bWxQSwUGAAAAAAQABADzAAAAYAUAAAAA&#10;" filled="f" stroked="f">
                <v:textbox>
                  <w:txbxContent>
                    <w:p w14:paraId="71597052" w14:textId="24664AAF" w:rsidR="00DE111F" w:rsidRPr="00DE111F" w:rsidRDefault="006122FF" w:rsidP="00DE111F">
                      <w:pPr>
                        <w:spacing w:line="240" w:lineRule="auto"/>
                        <w:rPr>
                          <w:color w:val="002554"/>
                          <w:sz w:val="72"/>
                          <w:szCs w:val="72"/>
                        </w:rPr>
                      </w:pPr>
                      <w:r>
                        <w:rPr>
                          <w:color w:val="002554"/>
                          <w:sz w:val="72"/>
                          <w:szCs w:val="72"/>
                        </w:rPr>
                        <w:t>202</w:t>
                      </w:r>
                      <w:r w:rsidR="000B25AA">
                        <w:rPr>
                          <w:color w:val="002554"/>
                          <w:sz w:val="72"/>
                          <w:szCs w:val="72"/>
                        </w:rPr>
                        <w:t>4</w:t>
                      </w:r>
                      <w:r>
                        <w:rPr>
                          <w:color w:val="002554"/>
                          <w:sz w:val="72"/>
                          <w:szCs w:val="72"/>
                        </w:rPr>
                        <w:t>-202</w:t>
                      </w:r>
                      <w:r w:rsidR="000B25AA">
                        <w:rPr>
                          <w:color w:val="002554"/>
                          <w:sz w:val="72"/>
                          <w:szCs w:val="72"/>
                        </w:rPr>
                        <w:t>5</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70528" behindDoc="0" locked="0" layoutInCell="1" allowOverlap="1" wp14:anchorId="45EB6717" wp14:editId="72DEB52B">
                <wp:simplePos x="0" y="0"/>
                <wp:positionH relativeFrom="margin">
                  <wp:posOffset>0</wp:posOffset>
                </wp:positionH>
                <wp:positionV relativeFrom="paragraph">
                  <wp:posOffset>7722235</wp:posOffset>
                </wp:positionV>
                <wp:extent cx="4951095" cy="802005"/>
                <wp:effectExtent l="0" t="0" r="0" b="0"/>
                <wp:wrapSquare wrapText="bothSides"/>
                <wp:docPr id="387729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095" cy="802005"/>
                        </a:xfrm>
                        <a:prstGeom prst="rect">
                          <a:avLst/>
                        </a:prstGeom>
                        <a:noFill/>
                        <a:ln w="9525">
                          <a:noFill/>
                          <a:miter lim="800000"/>
                          <a:headEnd/>
                          <a:tailEnd/>
                        </a:ln>
                      </wps:spPr>
                      <wps:txbx>
                        <w:txbxContent>
                          <w:p w14:paraId="4B57F4A3" w14:textId="38F29F63" w:rsidR="00DE111F" w:rsidRPr="00DE111F" w:rsidRDefault="00DE111F" w:rsidP="00DE111F">
                            <w:pPr>
                              <w:spacing w:line="240" w:lineRule="auto"/>
                              <w:rPr>
                                <w:color w:val="002554"/>
                                <w:sz w:val="40"/>
                                <w:szCs w:val="40"/>
                              </w:rPr>
                            </w:pPr>
                            <w:r>
                              <w:rPr>
                                <w:color w:val="002554"/>
                                <w:sz w:val="40"/>
                                <w:szCs w:val="40"/>
                              </w:rPr>
                              <w:t>Publish d</w:t>
                            </w:r>
                            <w:r w:rsidRPr="00DE111F">
                              <w:rPr>
                                <w:color w:val="002554"/>
                                <w:sz w:val="40"/>
                                <w:szCs w:val="40"/>
                              </w:rPr>
                              <w:t>ate</w:t>
                            </w:r>
                            <w:r w:rsidR="006122FF">
                              <w:rPr>
                                <w:color w:val="002554"/>
                                <w:sz w:val="40"/>
                                <w:szCs w:val="40"/>
                              </w:rPr>
                              <w:t>:</w:t>
                            </w:r>
                            <w:r w:rsidR="009232AB">
                              <w:rPr>
                                <w:color w:val="002554"/>
                                <w:sz w:val="40"/>
                                <w:szCs w:val="40"/>
                              </w:rPr>
                              <w:t xml:space="preserve"> </w:t>
                            </w:r>
                            <w:r w:rsidR="00B90763">
                              <w:rPr>
                                <w:color w:val="002554"/>
                                <w:sz w:val="40"/>
                                <w:szCs w:val="40"/>
                              </w:rPr>
                              <w:t>1</w:t>
                            </w:r>
                            <w:r w:rsidR="000B25AA">
                              <w:rPr>
                                <w:color w:val="002554"/>
                                <w:sz w:val="40"/>
                                <w:szCs w:val="40"/>
                              </w:rPr>
                              <w:t>6</w:t>
                            </w:r>
                            <w:proofErr w:type="gramStart"/>
                            <w:r w:rsidR="00B90763" w:rsidRPr="00B90763">
                              <w:rPr>
                                <w:color w:val="002554"/>
                                <w:sz w:val="40"/>
                                <w:szCs w:val="40"/>
                                <w:vertAlign w:val="superscript"/>
                              </w:rPr>
                              <w:t>th</w:t>
                            </w:r>
                            <w:r w:rsidR="00B90763">
                              <w:rPr>
                                <w:color w:val="002554"/>
                                <w:sz w:val="40"/>
                                <w:szCs w:val="40"/>
                              </w:rPr>
                              <w:t xml:space="preserve"> </w:t>
                            </w:r>
                            <w:r w:rsidR="009232AB">
                              <w:rPr>
                                <w:color w:val="002554"/>
                                <w:sz w:val="40"/>
                                <w:szCs w:val="40"/>
                              </w:rPr>
                              <w:t xml:space="preserve"> </w:t>
                            </w:r>
                            <w:r w:rsidR="00B90763">
                              <w:rPr>
                                <w:color w:val="002554"/>
                                <w:sz w:val="40"/>
                                <w:szCs w:val="40"/>
                              </w:rPr>
                              <w:t>May</w:t>
                            </w:r>
                            <w:proofErr w:type="gramEnd"/>
                            <w:r w:rsidR="009232AB">
                              <w:rPr>
                                <w:color w:val="002554"/>
                                <w:sz w:val="40"/>
                                <w:szCs w:val="40"/>
                              </w:rPr>
                              <w:t xml:space="preserve"> 202</w:t>
                            </w:r>
                            <w:r w:rsidR="000B25AA">
                              <w:rPr>
                                <w:color w:val="002554"/>
                                <w:sz w:val="40"/>
                                <w:szCs w:val="4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B6717" id="_x0000_s1028" type="#_x0000_t202" style="position:absolute;margin-left:0;margin-top:608.05pt;width:389.85pt;height:63.1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lr7+gEAANQDAAAOAAAAZHJzL2Uyb0RvYy54bWysU8GO0zAQvSPxD5bvNGnVwDZqulp2WYS0&#10;LEgLHzB1nMbC9hjbbVK+nrHT7VZwQ+Rg2Z7Mm3lvntfXo9HsIH1QaBs+n5WcSSuwVXbX8O/f7t9c&#10;cRYi2BY0Wtnwowz8evP61XpwtVxgj7qVnhGIDfXgGt7H6OqiCKKXBsIMnbQU7NAbiHT0u6L1MBC6&#10;0cWiLN8WA/rWeRQyBLq9m4J8k/G7Tor4peuCjEw3nHqLefV53aa12Kyh3nlwvRKnNuAfujCgLBU9&#10;Q91BBLb36i8oo4THgF2cCTQFdp0SMnMgNvPyDzZPPTiZuZA4wZ1lCv8PVjwentxXz+L4HkcaYCYR&#10;3AOKH4FZvO3B7uSN9zj0EloqPE+SFYML9Sk1SR3qkEC2w2dsaciwj5iBxs6bpArxZIROAzieRZdj&#10;ZIIul6tqXq4qzgTFrkoaapVLQP2c7XyIHyUaljYN9zTUjA6HhxBTN1A//5KKWbxXWufBasuGhq+q&#10;RZUTLiJGRfKdVibVTN/khETyg21zcgSlpz0V0PbEOhGdKMdxOzLVNnyRcpMIW2yPJIPHyWb0LGjT&#10;o//F2UAWa3j4uQcvOdOfLEm5mi+XyZP5sKzeLejgLyPbywhYQVANj5xN29uYfTxRviHJO5XVeOnk&#10;1DJZJ4t0snny5uU5//XyGDe/AQAA//8DAFBLAwQUAAYACAAAACEASdkIMt4AAAAKAQAADwAAAGRy&#10;cy9kb3ducmV2LnhtbEyPwU7DMBBE70j8g7VI3KidEJo2xKkQiCuoBSpxc+NtEhGvo9htwt+znOC4&#10;M6PZN+Vmdr044xg6TxqShQKBVHvbUaPh/e35ZgUiREPW9J5QwzcG2FSXF6UprJ9oi+ddbASXUCiM&#10;hjbGoZAy1C06ExZ+QGLv6EdnIp9jI+1oJi53vUyVWkpnOuIPrRnwscX6a3dyGj5ejp/7TL02T+5u&#10;mPysJLm11Pr6an64BxFxjn9h+MVndKiY6eBPZIPoNfCQyGqaLBMQ7Of5OgdxYOk2SzOQVSn/T6h+&#10;AAAA//8DAFBLAQItABQABgAIAAAAIQC2gziS/gAAAOEBAAATAAAAAAAAAAAAAAAAAAAAAABbQ29u&#10;dGVudF9UeXBlc10ueG1sUEsBAi0AFAAGAAgAAAAhADj9If/WAAAAlAEAAAsAAAAAAAAAAAAAAAAA&#10;LwEAAF9yZWxzLy5yZWxzUEsBAi0AFAAGAAgAAAAhAHhGWvv6AQAA1AMAAA4AAAAAAAAAAAAAAAAA&#10;LgIAAGRycy9lMm9Eb2MueG1sUEsBAi0AFAAGAAgAAAAhAEnZCDLeAAAACgEAAA8AAAAAAAAAAAAA&#10;AAAAVAQAAGRycy9kb3ducmV2LnhtbFBLBQYAAAAABAAEAPMAAABfBQAAAAA=&#10;" filled="f" stroked="f">
                <v:textbox>
                  <w:txbxContent>
                    <w:p w14:paraId="4B57F4A3" w14:textId="38F29F63" w:rsidR="00DE111F" w:rsidRPr="00DE111F" w:rsidRDefault="00DE111F" w:rsidP="00DE111F">
                      <w:pPr>
                        <w:spacing w:line="240" w:lineRule="auto"/>
                        <w:rPr>
                          <w:color w:val="002554"/>
                          <w:sz w:val="40"/>
                          <w:szCs w:val="40"/>
                        </w:rPr>
                      </w:pPr>
                      <w:r>
                        <w:rPr>
                          <w:color w:val="002554"/>
                          <w:sz w:val="40"/>
                          <w:szCs w:val="40"/>
                        </w:rPr>
                        <w:t>Publish d</w:t>
                      </w:r>
                      <w:r w:rsidRPr="00DE111F">
                        <w:rPr>
                          <w:color w:val="002554"/>
                          <w:sz w:val="40"/>
                          <w:szCs w:val="40"/>
                        </w:rPr>
                        <w:t>ate</w:t>
                      </w:r>
                      <w:r w:rsidR="006122FF">
                        <w:rPr>
                          <w:color w:val="002554"/>
                          <w:sz w:val="40"/>
                          <w:szCs w:val="40"/>
                        </w:rPr>
                        <w:t>:</w:t>
                      </w:r>
                      <w:r w:rsidR="009232AB">
                        <w:rPr>
                          <w:color w:val="002554"/>
                          <w:sz w:val="40"/>
                          <w:szCs w:val="40"/>
                        </w:rPr>
                        <w:t xml:space="preserve"> </w:t>
                      </w:r>
                      <w:r w:rsidR="00B90763">
                        <w:rPr>
                          <w:color w:val="002554"/>
                          <w:sz w:val="40"/>
                          <w:szCs w:val="40"/>
                        </w:rPr>
                        <w:t>1</w:t>
                      </w:r>
                      <w:r w:rsidR="000B25AA">
                        <w:rPr>
                          <w:color w:val="002554"/>
                          <w:sz w:val="40"/>
                          <w:szCs w:val="40"/>
                        </w:rPr>
                        <w:t>6</w:t>
                      </w:r>
                      <w:proofErr w:type="gramStart"/>
                      <w:r w:rsidR="00B90763" w:rsidRPr="00B90763">
                        <w:rPr>
                          <w:color w:val="002554"/>
                          <w:sz w:val="40"/>
                          <w:szCs w:val="40"/>
                          <w:vertAlign w:val="superscript"/>
                        </w:rPr>
                        <w:t>th</w:t>
                      </w:r>
                      <w:r w:rsidR="00B90763">
                        <w:rPr>
                          <w:color w:val="002554"/>
                          <w:sz w:val="40"/>
                          <w:szCs w:val="40"/>
                        </w:rPr>
                        <w:t xml:space="preserve"> </w:t>
                      </w:r>
                      <w:r w:rsidR="009232AB">
                        <w:rPr>
                          <w:color w:val="002554"/>
                          <w:sz w:val="40"/>
                          <w:szCs w:val="40"/>
                        </w:rPr>
                        <w:t xml:space="preserve"> </w:t>
                      </w:r>
                      <w:r w:rsidR="00B90763">
                        <w:rPr>
                          <w:color w:val="002554"/>
                          <w:sz w:val="40"/>
                          <w:szCs w:val="40"/>
                        </w:rPr>
                        <w:t>May</w:t>
                      </w:r>
                      <w:proofErr w:type="gramEnd"/>
                      <w:r w:rsidR="009232AB">
                        <w:rPr>
                          <w:color w:val="002554"/>
                          <w:sz w:val="40"/>
                          <w:szCs w:val="40"/>
                        </w:rPr>
                        <w:t xml:space="preserve"> 202</w:t>
                      </w:r>
                      <w:r w:rsidR="000B25AA">
                        <w:rPr>
                          <w:color w:val="002554"/>
                          <w:sz w:val="40"/>
                          <w:szCs w:val="40"/>
                        </w:rPr>
                        <w:t>5</w:t>
                      </w:r>
                    </w:p>
                  </w:txbxContent>
                </v:textbox>
                <w10:wrap type="square" anchorx="margin"/>
              </v:shape>
            </w:pict>
          </mc:Fallback>
        </mc:AlternateContent>
      </w:r>
      <w:r>
        <w:rPr>
          <w:noProof/>
          <w:lang w:eastAsia="en-GB"/>
        </w:rPr>
        <w:drawing>
          <wp:anchor distT="0" distB="0" distL="114300" distR="114300" simplePos="0" relativeHeight="251666432" behindDoc="1" locked="0" layoutInCell="1" allowOverlap="1" wp14:anchorId="7E1184C7" wp14:editId="1AE74080">
            <wp:simplePos x="0" y="0"/>
            <wp:positionH relativeFrom="page">
              <wp:align>left</wp:align>
            </wp:positionH>
            <wp:positionV relativeFrom="paragraph">
              <wp:posOffset>-914400</wp:posOffset>
            </wp:positionV>
            <wp:extent cx="7550183" cy="10679502"/>
            <wp:effectExtent l="0" t="0" r="0" b="7620"/>
            <wp:wrapNone/>
            <wp:docPr id="755019104"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019104" name="Picture 1"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0183" cy="10679502"/>
                    </a:xfrm>
                    <a:prstGeom prst="rect">
                      <a:avLst/>
                    </a:prstGeom>
                  </pic:spPr>
                </pic:pic>
              </a:graphicData>
            </a:graphic>
            <wp14:sizeRelH relativeFrom="page">
              <wp14:pctWidth>0</wp14:pctWidth>
            </wp14:sizeRelH>
            <wp14:sizeRelV relativeFrom="page">
              <wp14:pctHeight>0</wp14:pctHeight>
            </wp14:sizeRelV>
          </wp:anchor>
        </w:drawing>
      </w:r>
      <w:r>
        <w:br w:type="page"/>
      </w:r>
    </w:p>
    <w:sdt>
      <w:sdtPr>
        <w:rPr>
          <w:rFonts w:asciiTheme="minorHAnsi" w:eastAsiaTheme="minorHAnsi" w:hAnsiTheme="minorHAnsi" w:cstheme="minorBidi"/>
          <w:color w:val="auto"/>
          <w:kern w:val="2"/>
          <w:sz w:val="22"/>
          <w:szCs w:val="22"/>
          <w:lang w:eastAsia="en-US"/>
          <w14:ligatures w14:val="standardContextual"/>
        </w:rPr>
        <w:id w:val="-936211640"/>
        <w:docPartObj>
          <w:docPartGallery w:val="Table of Contents"/>
          <w:docPartUnique/>
        </w:docPartObj>
      </w:sdtPr>
      <w:sdtEndPr>
        <w:rPr>
          <w:b/>
          <w:bCs/>
        </w:rPr>
      </w:sdtEndPr>
      <w:sdtContent>
        <w:p w14:paraId="4F5B8247" w14:textId="69FC2A52" w:rsidR="00834F07" w:rsidRPr="00834F07" w:rsidRDefault="00834F07">
          <w:pPr>
            <w:pStyle w:val="TOCHeading"/>
            <w:rPr>
              <w:rFonts w:cstheme="majorHAnsi"/>
              <w:b/>
              <w:bCs/>
              <w:color w:val="00A9CE"/>
            </w:rPr>
          </w:pPr>
          <w:r w:rsidRPr="00834F07">
            <w:rPr>
              <w:rFonts w:cstheme="majorHAnsi"/>
              <w:b/>
              <w:bCs/>
              <w:color w:val="00A9CE"/>
            </w:rPr>
            <w:t>Contents</w:t>
          </w:r>
        </w:p>
        <w:p w14:paraId="6B24C865" w14:textId="1A0CA144" w:rsidR="003E2CC1" w:rsidRDefault="00834F07">
          <w:pPr>
            <w:pStyle w:val="TOC1"/>
            <w:tabs>
              <w:tab w:val="right" w:leader="dot" w:pos="9016"/>
            </w:tabs>
            <w:rPr>
              <w:rFonts w:eastAsiaTheme="minorEastAsia"/>
              <w:noProof/>
              <w:kern w:val="0"/>
              <w:lang w:eastAsia="en-GB"/>
              <w14:ligatures w14:val="none"/>
            </w:rPr>
          </w:pPr>
          <w:r>
            <w:fldChar w:fldCharType="begin"/>
          </w:r>
          <w:r>
            <w:instrText xml:space="preserve"> TOC \o "1-3" \h \z \u </w:instrText>
          </w:r>
          <w:r>
            <w:fldChar w:fldCharType="separate"/>
          </w:r>
          <w:hyperlink w:anchor="_Toc135297790" w:history="1">
            <w:r w:rsidR="003E2CC1" w:rsidRPr="00130FE8">
              <w:rPr>
                <w:rStyle w:val="Hyperlink"/>
                <w:noProof/>
              </w:rPr>
              <w:t>1 – About Duty of Candour</w:t>
            </w:r>
            <w:r w:rsidR="003E2CC1">
              <w:rPr>
                <w:noProof/>
                <w:webHidden/>
              </w:rPr>
              <w:tab/>
            </w:r>
            <w:r w:rsidR="003E2CC1">
              <w:rPr>
                <w:noProof/>
                <w:webHidden/>
              </w:rPr>
              <w:fldChar w:fldCharType="begin"/>
            </w:r>
            <w:r w:rsidR="003E2CC1">
              <w:rPr>
                <w:noProof/>
                <w:webHidden/>
              </w:rPr>
              <w:instrText xml:space="preserve"> PAGEREF _Toc135297790 \h </w:instrText>
            </w:r>
            <w:r w:rsidR="003E2CC1">
              <w:rPr>
                <w:noProof/>
                <w:webHidden/>
              </w:rPr>
            </w:r>
            <w:r w:rsidR="003E2CC1">
              <w:rPr>
                <w:noProof/>
                <w:webHidden/>
              </w:rPr>
              <w:fldChar w:fldCharType="separate"/>
            </w:r>
            <w:r w:rsidR="003E2CC1">
              <w:rPr>
                <w:noProof/>
                <w:webHidden/>
              </w:rPr>
              <w:t>3</w:t>
            </w:r>
            <w:r w:rsidR="003E2CC1">
              <w:rPr>
                <w:noProof/>
                <w:webHidden/>
              </w:rPr>
              <w:fldChar w:fldCharType="end"/>
            </w:r>
          </w:hyperlink>
        </w:p>
        <w:p w14:paraId="7D28ACC5" w14:textId="25E11BEF" w:rsidR="003E2CC1" w:rsidRDefault="003E2CC1">
          <w:pPr>
            <w:pStyle w:val="TOC1"/>
            <w:tabs>
              <w:tab w:val="right" w:leader="dot" w:pos="9016"/>
            </w:tabs>
            <w:rPr>
              <w:rFonts w:eastAsiaTheme="minorEastAsia"/>
              <w:noProof/>
              <w:kern w:val="0"/>
              <w:lang w:eastAsia="en-GB"/>
              <w14:ligatures w14:val="none"/>
            </w:rPr>
          </w:pPr>
          <w:hyperlink w:anchor="_Toc135297791" w:history="1">
            <w:r w:rsidRPr="00130FE8">
              <w:rPr>
                <w:rStyle w:val="Hyperlink"/>
                <w:noProof/>
              </w:rPr>
              <w:t>2 – About the Organisation</w:t>
            </w:r>
            <w:r>
              <w:rPr>
                <w:noProof/>
                <w:webHidden/>
              </w:rPr>
              <w:tab/>
            </w:r>
            <w:r>
              <w:rPr>
                <w:noProof/>
                <w:webHidden/>
              </w:rPr>
              <w:fldChar w:fldCharType="begin"/>
            </w:r>
            <w:r>
              <w:rPr>
                <w:noProof/>
                <w:webHidden/>
              </w:rPr>
              <w:instrText xml:space="preserve"> PAGEREF _Toc135297791 \h </w:instrText>
            </w:r>
            <w:r>
              <w:rPr>
                <w:noProof/>
                <w:webHidden/>
              </w:rPr>
            </w:r>
            <w:r>
              <w:rPr>
                <w:noProof/>
                <w:webHidden/>
              </w:rPr>
              <w:fldChar w:fldCharType="separate"/>
            </w:r>
            <w:r>
              <w:rPr>
                <w:noProof/>
                <w:webHidden/>
              </w:rPr>
              <w:t>4</w:t>
            </w:r>
            <w:r>
              <w:rPr>
                <w:noProof/>
                <w:webHidden/>
              </w:rPr>
              <w:fldChar w:fldCharType="end"/>
            </w:r>
          </w:hyperlink>
        </w:p>
        <w:p w14:paraId="1C78F8EE" w14:textId="0A3D519A" w:rsidR="003E2CC1" w:rsidRDefault="003E2CC1">
          <w:pPr>
            <w:pStyle w:val="TOC1"/>
            <w:tabs>
              <w:tab w:val="right" w:leader="dot" w:pos="9016"/>
            </w:tabs>
            <w:rPr>
              <w:rFonts w:eastAsiaTheme="minorEastAsia"/>
              <w:noProof/>
              <w:kern w:val="0"/>
              <w:lang w:eastAsia="en-GB"/>
              <w14:ligatures w14:val="none"/>
            </w:rPr>
          </w:pPr>
          <w:hyperlink w:anchor="_Toc135297792" w:history="1">
            <w:r w:rsidRPr="00130FE8">
              <w:rPr>
                <w:rStyle w:val="Hyperlink"/>
                <w:noProof/>
              </w:rPr>
              <w:t>3 – Incident Reporting</w:t>
            </w:r>
            <w:r>
              <w:rPr>
                <w:noProof/>
                <w:webHidden/>
              </w:rPr>
              <w:tab/>
            </w:r>
            <w:r>
              <w:rPr>
                <w:noProof/>
                <w:webHidden/>
              </w:rPr>
              <w:fldChar w:fldCharType="begin"/>
            </w:r>
            <w:r>
              <w:rPr>
                <w:noProof/>
                <w:webHidden/>
              </w:rPr>
              <w:instrText xml:space="preserve"> PAGEREF _Toc135297792 \h </w:instrText>
            </w:r>
            <w:r>
              <w:rPr>
                <w:noProof/>
                <w:webHidden/>
              </w:rPr>
            </w:r>
            <w:r>
              <w:rPr>
                <w:noProof/>
                <w:webHidden/>
              </w:rPr>
              <w:fldChar w:fldCharType="separate"/>
            </w:r>
            <w:r>
              <w:rPr>
                <w:noProof/>
                <w:webHidden/>
              </w:rPr>
              <w:t>5</w:t>
            </w:r>
            <w:r>
              <w:rPr>
                <w:noProof/>
                <w:webHidden/>
              </w:rPr>
              <w:fldChar w:fldCharType="end"/>
            </w:r>
          </w:hyperlink>
        </w:p>
        <w:p w14:paraId="08649E6A" w14:textId="067D7B4C" w:rsidR="003E2CC1" w:rsidRDefault="003E2CC1">
          <w:pPr>
            <w:pStyle w:val="TOC1"/>
            <w:tabs>
              <w:tab w:val="right" w:leader="dot" w:pos="9016"/>
            </w:tabs>
            <w:rPr>
              <w:rFonts w:eastAsiaTheme="minorEastAsia"/>
              <w:noProof/>
              <w:kern w:val="0"/>
              <w:lang w:eastAsia="en-GB"/>
              <w14:ligatures w14:val="none"/>
            </w:rPr>
          </w:pPr>
          <w:hyperlink w:anchor="_Toc135297795" w:history="1">
            <w:r w:rsidRPr="00130FE8">
              <w:rPr>
                <w:rStyle w:val="Hyperlink"/>
                <w:noProof/>
              </w:rPr>
              <w:t>4 – Our Procedure and Processes</w:t>
            </w:r>
            <w:r>
              <w:rPr>
                <w:noProof/>
                <w:webHidden/>
              </w:rPr>
              <w:tab/>
            </w:r>
            <w:r>
              <w:rPr>
                <w:noProof/>
                <w:webHidden/>
              </w:rPr>
              <w:fldChar w:fldCharType="begin"/>
            </w:r>
            <w:r>
              <w:rPr>
                <w:noProof/>
                <w:webHidden/>
              </w:rPr>
              <w:instrText xml:space="preserve"> PAGEREF _Toc135297795 \h </w:instrText>
            </w:r>
            <w:r>
              <w:rPr>
                <w:noProof/>
                <w:webHidden/>
              </w:rPr>
            </w:r>
            <w:r>
              <w:rPr>
                <w:noProof/>
                <w:webHidden/>
              </w:rPr>
              <w:fldChar w:fldCharType="separate"/>
            </w:r>
            <w:r>
              <w:rPr>
                <w:noProof/>
                <w:webHidden/>
              </w:rPr>
              <w:t>5</w:t>
            </w:r>
            <w:r>
              <w:rPr>
                <w:noProof/>
                <w:webHidden/>
              </w:rPr>
              <w:fldChar w:fldCharType="end"/>
            </w:r>
          </w:hyperlink>
        </w:p>
        <w:p w14:paraId="171E0E32" w14:textId="33797B74" w:rsidR="003E2CC1" w:rsidRDefault="003E2CC1">
          <w:pPr>
            <w:pStyle w:val="TOC1"/>
            <w:tabs>
              <w:tab w:val="right" w:leader="dot" w:pos="9016"/>
            </w:tabs>
            <w:rPr>
              <w:rFonts w:eastAsiaTheme="minorEastAsia"/>
              <w:noProof/>
              <w:kern w:val="0"/>
              <w:lang w:eastAsia="en-GB"/>
              <w14:ligatures w14:val="none"/>
            </w:rPr>
          </w:pPr>
          <w:hyperlink w:anchor="_Toc135297796" w:history="1">
            <w:r w:rsidRPr="00130FE8">
              <w:rPr>
                <w:rStyle w:val="Hyperlink"/>
                <w:noProof/>
              </w:rPr>
              <w:t>5 – Procedure Followed</w:t>
            </w:r>
            <w:r>
              <w:rPr>
                <w:noProof/>
                <w:webHidden/>
              </w:rPr>
              <w:tab/>
            </w:r>
            <w:r>
              <w:rPr>
                <w:noProof/>
                <w:webHidden/>
              </w:rPr>
              <w:fldChar w:fldCharType="begin"/>
            </w:r>
            <w:r>
              <w:rPr>
                <w:noProof/>
                <w:webHidden/>
              </w:rPr>
              <w:instrText xml:space="preserve"> PAGEREF _Toc135297796 \h </w:instrText>
            </w:r>
            <w:r>
              <w:rPr>
                <w:noProof/>
                <w:webHidden/>
              </w:rPr>
            </w:r>
            <w:r>
              <w:rPr>
                <w:noProof/>
                <w:webHidden/>
              </w:rPr>
              <w:fldChar w:fldCharType="separate"/>
            </w:r>
            <w:r>
              <w:rPr>
                <w:noProof/>
                <w:webHidden/>
              </w:rPr>
              <w:t>5</w:t>
            </w:r>
            <w:r>
              <w:rPr>
                <w:noProof/>
                <w:webHidden/>
              </w:rPr>
              <w:fldChar w:fldCharType="end"/>
            </w:r>
          </w:hyperlink>
        </w:p>
        <w:p w14:paraId="771344CA" w14:textId="4E899788" w:rsidR="003E2CC1" w:rsidRDefault="003E2CC1">
          <w:pPr>
            <w:pStyle w:val="TOC1"/>
            <w:tabs>
              <w:tab w:val="right" w:leader="dot" w:pos="9016"/>
            </w:tabs>
            <w:rPr>
              <w:rFonts w:eastAsiaTheme="minorEastAsia"/>
              <w:noProof/>
              <w:kern w:val="0"/>
              <w:lang w:eastAsia="en-GB"/>
              <w14:ligatures w14:val="none"/>
            </w:rPr>
          </w:pPr>
          <w:hyperlink w:anchor="_Toc135297797" w:history="1">
            <w:r w:rsidRPr="00130FE8">
              <w:rPr>
                <w:rStyle w:val="Hyperlink"/>
                <w:noProof/>
              </w:rPr>
              <w:t>6 – Learning Outcomes</w:t>
            </w:r>
            <w:r>
              <w:rPr>
                <w:noProof/>
                <w:webHidden/>
              </w:rPr>
              <w:tab/>
            </w:r>
            <w:r>
              <w:rPr>
                <w:noProof/>
                <w:webHidden/>
              </w:rPr>
              <w:fldChar w:fldCharType="begin"/>
            </w:r>
            <w:r>
              <w:rPr>
                <w:noProof/>
                <w:webHidden/>
              </w:rPr>
              <w:instrText xml:space="preserve"> PAGEREF _Toc135297797 \h </w:instrText>
            </w:r>
            <w:r>
              <w:rPr>
                <w:noProof/>
                <w:webHidden/>
              </w:rPr>
            </w:r>
            <w:r>
              <w:rPr>
                <w:noProof/>
                <w:webHidden/>
              </w:rPr>
              <w:fldChar w:fldCharType="separate"/>
            </w:r>
            <w:r>
              <w:rPr>
                <w:noProof/>
                <w:webHidden/>
              </w:rPr>
              <w:t>5</w:t>
            </w:r>
            <w:r>
              <w:rPr>
                <w:noProof/>
                <w:webHidden/>
              </w:rPr>
              <w:fldChar w:fldCharType="end"/>
            </w:r>
          </w:hyperlink>
        </w:p>
        <w:p w14:paraId="3942F52A" w14:textId="3F1C7068" w:rsidR="003E2CC1" w:rsidRDefault="003E2CC1">
          <w:pPr>
            <w:pStyle w:val="TOC1"/>
            <w:tabs>
              <w:tab w:val="right" w:leader="dot" w:pos="9016"/>
            </w:tabs>
            <w:rPr>
              <w:rFonts w:eastAsiaTheme="minorEastAsia"/>
              <w:noProof/>
              <w:kern w:val="0"/>
              <w:lang w:eastAsia="en-GB"/>
              <w14:ligatures w14:val="none"/>
            </w:rPr>
          </w:pPr>
          <w:hyperlink w:anchor="_Toc135297798" w:history="1">
            <w:r w:rsidRPr="00130FE8">
              <w:rPr>
                <w:rStyle w:val="Hyperlink"/>
                <w:noProof/>
              </w:rPr>
              <w:t>7 – Other information</w:t>
            </w:r>
            <w:r>
              <w:rPr>
                <w:noProof/>
                <w:webHidden/>
              </w:rPr>
              <w:tab/>
            </w:r>
            <w:r>
              <w:rPr>
                <w:noProof/>
                <w:webHidden/>
              </w:rPr>
              <w:fldChar w:fldCharType="begin"/>
            </w:r>
            <w:r>
              <w:rPr>
                <w:noProof/>
                <w:webHidden/>
              </w:rPr>
              <w:instrText xml:space="preserve"> PAGEREF _Toc135297798 \h </w:instrText>
            </w:r>
            <w:r>
              <w:rPr>
                <w:noProof/>
                <w:webHidden/>
              </w:rPr>
            </w:r>
            <w:r>
              <w:rPr>
                <w:noProof/>
                <w:webHidden/>
              </w:rPr>
              <w:fldChar w:fldCharType="separate"/>
            </w:r>
            <w:r>
              <w:rPr>
                <w:noProof/>
                <w:webHidden/>
              </w:rPr>
              <w:t>6</w:t>
            </w:r>
            <w:r>
              <w:rPr>
                <w:noProof/>
                <w:webHidden/>
              </w:rPr>
              <w:fldChar w:fldCharType="end"/>
            </w:r>
          </w:hyperlink>
        </w:p>
        <w:p w14:paraId="04A1B64A" w14:textId="765D0F67" w:rsidR="00834F07" w:rsidRDefault="00834F07">
          <w:r>
            <w:rPr>
              <w:b/>
              <w:bCs/>
            </w:rPr>
            <w:fldChar w:fldCharType="end"/>
          </w:r>
        </w:p>
      </w:sdtContent>
    </w:sdt>
    <w:p w14:paraId="3CA238AE" w14:textId="77777777" w:rsidR="00834F07" w:rsidRDefault="00834F07">
      <w:pPr>
        <w:rPr>
          <w:rFonts w:asciiTheme="majorHAnsi" w:eastAsiaTheme="majorEastAsia" w:hAnsiTheme="majorHAnsi" w:cstheme="majorBidi"/>
          <w:b/>
          <w:color w:val="00A9CE"/>
          <w:sz w:val="32"/>
          <w:szCs w:val="32"/>
        </w:rPr>
      </w:pPr>
      <w:r>
        <w:br w:type="page"/>
      </w:r>
    </w:p>
    <w:p w14:paraId="73995818" w14:textId="08626214" w:rsidR="00136BD5" w:rsidRPr="00834F07" w:rsidRDefault="00834F07" w:rsidP="00DE111F">
      <w:pPr>
        <w:pStyle w:val="HillcrestHeading"/>
      </w:pPr>
      <w:r>
        <w:lastRenderedPageBreak/>
        <w:t xml:space="preserve"> </w:t>
      </w:r>
      <w:bookmarkStart w:id="0" w:name="_Toc135297790"/>
      <w:r>
        <w:t>1</w:t>
      </w:r>
      <w:r w:rsidR="006122FF">
        <w:t xml:space="preserve"> – </w:t>
      </w:r>
      <w:r w:rsidR="007F1BDE">
        <w:t>About Duty of Candour</w:t>
      </w:r>
      <w:bookmarkEnd w:id="0"/>
      <w:r w:rsidR="006122FF">
        <w:t xml:space="preserve"> </w:t>
      </w:r>
    </w:p>
    <w:p w14:paraId="697014BB" w14:textId="0B9F0B5F" w:rsidR="003E22DD" w:rsidRDefault="003E22DD"/>
    <w:p w14:paraId="6F83F248" w14:textId="18B65824" w:rsidR="003E22DD" w:rsidRDefault="003E22DD"/>
    <w:p w14:paraId="3C468679" w14:textId="77777777" w:rsidR="003E22DD" w:rsidRDefault="003E22DD" w:rsidP="003E22DD">
      <w:r>
        <w:t xml:space="preserve">The organisational duty of candour provisions of the </w:t>
      </w:r>
      <w:proofErr w:type="gramStart"/>
      <w:r>
        <w:t>Health</w:t>
      </w:r>
      <w:proofErr w:type="gramEnd"/>
      <w:r>
        <w:t xml:space="preserve"> (Tobacco. Nicotine Etc. and Care) (Scotland) Act 2016 and The Duty of Candour Procedure (Scotland) Regulations 2018 set out the procedure that organisations providing health and social care services and social work services in Scotland are required by law to follow when there has been an unintended or unexpected incident that results in death or harm (or additional treatment is required to prevent injury that would result in death or harm).</w:t>
      </w:r>
    </w:p>
    <w:p w14:paraId="78A1ABF7" w14:textId="77777777" w:rsidR="003E22DD" w:rsidRDefault="003E22DD" w:rsidP="003E22DD"/>
    <w:p w14:paraId="6D4F2507" w14:textId="77777777" w:rsidR="003E22DD" w:rsidRDefault="003E22DD" w:rsidP="003E22DD">
      <w:r>
        <w:t>Enabling and managing risk is a central part of delivering high quality health and social care services. Candour promotes responsibility for developing safer systems, better engages staff in improving services and creates greater trust in people who use these services, either first hand or on behalf of someone else.</w:t>
      </w:r>
    </w:p>
    <w:p w14:paraId="104C78F4" w14:textId="77777777" w:rsidR="003E22DD" w:rsidRDefault="003E22DD" w:rsidP="003E22DD">
      <w:r>
        <w:t>Personalised discussions and communication, review processes that take account of what matters most to those affected and supportive responses following an unintended or unexpected incident all help to support and promote a culture of learning within the organisation. Putting people at the centre of organisational responses to unintended or unexpected incidents resulting in death or harm also helps create the conditions where people feel psychologically safe to contribute to such discussions.</w:t>
      </w:r>
    </w:p>
    <w:p w14:paraId="4162F007" w14:textId="60C8E269" w:rsidR="003E22DD" w:rsidRDefault="003E22DD" w:rsidP="003E22DD">
      <w:r>
        <w:t>Hillcrest Futures is committed to providing a truly personalised organisational response when things go wrong requires a commitment to the provision of support and training for everyone involved in meetings, reviews and actions arising from a duty of candour incident.</w:t>
      </w:r>
    </w:p>
    <w:p w14:paraId="56840E6A" w14:textId="77777777" w:rsidR="003E22DD" w:rsidRDefault="003E22DD">
      <w:r>
        <w:br w:type="page"/>
      </w:r>
    </w:p>
    <w:p w14:paraId="7FB92DDB" w14:textId="77777777" w:rsidR="00DE111F" w:rsidRDefault="00DE111F"/>
    <w:p w14:paraId="7BB497A8" w14:textId="5D9138E8" w:rsidR="00DE111F" w:rsidRDefault="00834F07" w:rsidP="00DE111F">
      <w:pPr>
        <w:pStyle w:val="HillcrestHeading"/>
      </w:pPr>
      <w:r>
        <w:t xml:space="preserve"> </w:t>
      </w:r>
      <w:bookmarkStart w:id="1" w:name="_Toc135297791"/>
      <w:r>
        <w:t>2</w:t>
      </w:r>
      <w:r w:rsidR="006122FF">
        <w:t xml:space="preserve"> – </w:t>
      </w:r>
      <w:r w:rsidR="007F1BDE">
        <w:t>About the Organisation</w:t>
      </w:r>
      <w:bookmarkEnd w:id="1"/>
    </w:p>
    <w:p w14:paraId="00ACF467" w14:textId="1F160106" w:rsidR="003E22DD" w:rsidRDefault="003E22DD"/>
    <w:p w14:paraId="3FC93967" w14:textId="16200ABA" w:rsidR="003E22DD" w:rsidRDefault="003E22DD" w:rsidP="000B25AA">
      <w:pPr>
        <w:jc w:val="both"/>
      </w:pPr>
      <w:r>
        <w:t xml:space="preserve">Hillcrest Futures, formally Gowrie Care Limited, was originally part of Gowrie Housing Association and is now a part of Hillcrest, has been involved in providing care and support services since the early 1980’s. It is a company limited by guarantee. </w:t>
      </w:r>
    </w:p>
    <w:p w14:paraId="25ABF81D" w14:textId="77777777" w:rsidR="003E22DD" w:rsidRDefault="003E22DD" w:rsidP="000B25AA">
      <w:pPr>
        <w:jc w:val="both"/>
      </w:pPr>
    </w:p>
    <w:p w14:paraId="515A4641" w14:textId="77777777" w:rsidR="003E22DD" w:rsidRDefault="003E22DD" w:rsidP="000B25AA">
      <w:pPr>
        <w:jc w:val="both"/>
      </w:pPr>
      <w:r>
        <w:t xml:space="preserve">The Hillcrest Group was formed in 2003, following the merger of Hillcrest Housing Association, Gowrie Housing Association and Old Town Housing Association. All the housing stock was transferred to Hillcrest Housing Association and a new care </w:t>
      </w:r>
      <w:proofErr w:type="gramStart"/>
      <w:r>
        <w:t>company,</w:t>
      </w:r>
      <w:proofErr w:type="gramEnd"/>
      <w:r>
        <w:t xml:space="preserve"> Gowrie Care Limited was formed to manage the care and support contracts. In 2018 CAIR Scotland merged with Gowrie Care, bringing with them a wealth of knowledge and experience of delivering innovative services supporting substance misuse. On the 1st of June 2019 Gowrie Care changed its name to Hillcrest Futures.</w:t>
      </w:r>
    </w:p>
    <w:p w14:paraId="0F45FDAA" w14:textId="77777777" w:rsidR="003E22DD" w:rsidRDefault="003E22DD" w:rsidP="000B25AA">
      <w:pPr>
        <w:jc w:val="both"/>
      </w:pPr>
    </w:p>
    <w:p w14:paraId="2A31FBC1" w14:textId="659E601D" w:rsidR="003E22DD" w:rsidRDefault="003E22DD" w:rsidP="000B25AA">
      <w:pPr>
        <w:jc w:val="both"/>
      </w:pPr>
      <w:r>
        <w:t xml:space="preserve">Hillcrest Futures currently works across Fife, Perth and Kinross, Dundee, Angus, Glasgow and Edinburgh. We provide Care at Home and/ or Housing Support services registered with the Care Inspectorate, as well as a range of other non-registered services to a wide range of </w:t>
      </w:r>
      <w:r w:rsidR="00B90763">
        <w:t>client</w:t>
      </w:r>
      <w:r>
        <w:t xml:space="preserve"> groups including people with learning disabilities, Autistic Spectrum Disorder (ASD), complex needs, homelessness/ multiple needs, mental health, addictions, young people and families and older adults. These services range from intensive </w:t>
      </w:r>
      <w:proofErr w:type="gramStart"/>
      <w:r>
        <w:t>24 hour</w:t>
      </w:r>
      <w:proofErr w:type="gramEnd"/>
      <w:r>
        <w:t xml:space="preserve"> provision to short interval support of around one or two hours per week.</w:t>
      </w:r>
    </w:p>
    <w:p w14:paraId="78ADF426" w14:textId="0EED88C5" w:rsidR="00DE111F" w:rsidRDefault="003E22DD" w:rsidP="000B25AA">
      <w:pPr>
        <w:jc w:val="both"/>
      </w:pPr>
      <w:r>
        <w:br w:type="page"/>
      </w:r>
    </w:p>
    <w:p w14:paraId="18649A67" w14:textId="0807EFDA" w:rsidR="00DE111F" w:rsidRDefault="00834F07" w:rsidP="000B25AA">
      <w:pPr>
        <w:pStyle w:val="HillcrestHeading"/>
        <w:jc w:val="both"/>
      </w:pPr>
      <w:r>
        <w:lastRenderedPageBreak/>
        <w:t xml:space="preserve"> </w:t>
      </w:r>
      <w:bookmarkStart w:id="2" w:name="_Toc135297792"/>
      <w:r>
        <w:t>3</w:t>
      </w:r>
      <w:r w:rsidR="006122FF">
        <w:t xml:space="preserve"> – </w:t>
      </w:r>
      <w:r w:rsidR="007F1BDE">
        <w:t>Incident Reporting</w:t>
      </w:r>
      <w:bookmarkEnd w:id="2"/>
    </w:p>
    <w:p w14:paraId="5D1062DC" w14:textId="4F5EE4EE" w:rsidR="006122FF" w:rsidRDefault="006122FF" w:rsidP="000B25AA">
      <w:pPr>
        <w:pStyle w:val="HillcrestHeading"/>
        <w:jc w:val="both"/>
        <w:rPr>
          <w:rFonts w:asciiTheme="minorHAnsi" w:eastAsiaTheme="minorHAnsi" w:hAnsiTheme="minorHAnsi" w:cstheme="minorBidi"/>
          <w:b w:val="0"/>
          <w:color w:val="auto"/>
          <w:sz w:val="22"/>
          <w:szCs w:val="22"/>
        </w:rPr>
      </w:pPr>
    </w:p>
    <w:p w14:paraId="61F8897B" w14:textId="075378F4" w:rsidR="003E22DD" w:rsidRDefault="003E22DD" w:rsidP="000B25AA">
      <w:pPr>
        <w:pStyle w:val="HillcrestHeading"/>
        <w:jc w:val="both"/>
        <w:rPr>
          <w:rFonts w:asciiTheme="minorHAnsi" w:eastAsiaTheme="minorHAnsi" w:hAnsiTheme="minorHAnsi" w:cstheme="minorBidi"/>
          <w:b w:val="0"/>
          <w:color w:val="auto"/>
          <w:sz w:val="22"/>
          <w:szCs w:val="22"/>
        </w:rPr>
      </w:pPr>
      <w:bookmarkStart w:id="3" w:name="_Toc135297793"/>
      <w:r w:rsidRPr="003E22DD">
        <w:rPr>
          <w:rFonts w:asciiTheme="minorHAnsi" w:eastAsiaTheme="minorHAnsi" w:hAnsiTheme="minorHAnsi" w:cstheme="minorBidi"/>
          <w:b w:val="0"/>
          <w:color w:val="auto"/>
          <w:sz w:val="22"/>
          <w:szCs w:val="22"/>
        </w:rPr>
        <w:t>All Health and Social Care providers in Scotland must provide an annual Duty of Candour report for their services. As a provider of Housing Support and Care at Home services in Scotland a copy of this report is sent to our regulator (the Care Inspectorate) and is published on our website.</w:t>
      </w:r>
      <w:bookmarkEnd w:id="3"/>
    </w:p>
    <w:p w14:paraId="28C422CB" w14:textId="28EED6DC" w:rsidR="003E22DD" w:rsidRDefault="003E22DD" w:rsidP="000B25AA">
      <w:pPr>
        <w:pStyle w:val="HillcrestHeading"/>
        <w:jc w:val="both"/>
        <w:rPr>
          <w:rFonts w:asciiTheme="minorHAnsi" w:eastAsiaTheme="minorHAnsi" w:hAnsiTheme="minorHAnsi" w:cstheme="minorBidi"/>
          <w:b w:val="0"/>
          <w:color w:val="auto"/>
          <w:sz w:val="22"/>
          <w:szCs w:val="22"/>
        </w:rPr>
      </w:pPr>
      <w:bookmarkStart w:id="4" w:name="_Toc135297794"/>
      <w:r w:rsidRPr="003E22DD">
        <w:rPr>
          <w:rFonts w:asciiTheme="minorHAnsi" w:eastAsiaTheme="minorHAnsi" w:hAnsiTheme="minorHAnsi" w:cstheme="minorBidi"/>
          <w:b w:val="0"/>
          <w:color w:val="auto"/>
          <w:sz w:val="22"/>
          <w:szCs w:val="22"/>
        </w:rPr>
        <w:t>During th</w:t>
      </w:r>
      <w:r w:rsidR="00721006">
        <w:rPr>
          <w:rFonts w:asciiTheme="minorHAnsi" w:eastAsiaTheme="minorHAnsi" w:hAnsiTheme="minorHAnsi" w:cstheme="minorBidi"/>
          <w:b w:val="0"/>
          <w:color w:val="auto"/>
          <w:sz w:val="22"/>
          <w:szCs w:val="22"/>
        </w:rPr>
        <w:t>is reporting period – April 202</w:t>
      </w:r>
      <w:r w:rsidR="000B25AA">
        <w:rPr>
          <w:rFonts w:asciiTheme="minorHAnsi" w:eastAsiaTheme="minorHAnsi" w:hAnsiTheme="minorHAnsi" w:cstheme="minorBidi"/>
          <w:b w:val="0"/>
          <w:color w:val="auto"/>
          <w:sz w:val="22"/>
          <w:szCs w:val="22"/>
        </w:rPr>
        <w:t>4</w:t>
      </w:r>
      <w:r w:rsidR="00721006">
        <w:rPr>
          <w:rFonts w:asciiTheme="minorHAnsi" w:eastAsiaTheme="minorHAnsi" w:hAnsiTheme="minorHAnsi" w:cstheme="minorBidi"/>
          <w:b w:val="0"/>
          <w:color w:val="auto"/>
          <w:sz w:val="22"/>
          <w:szCs w:val="22"/>
        </w:rPr>
        <w:t>-April 202</w:t>
      </w:r>
      <w:r w:rsidR="000B25AA">
        <w:rPr>
          <w:rFonts w:asciiTheme="minorHAnsi" w:eastAsiaTheme="minorHAnsi" w:hAnsiTheme="minorHAnsi" w:cstheme="minorBidi"/>
          <w:b w:val="0"/>
          <w:color w:val="auto"/>
          <w:sz w:val="22"/>
          <w:szCs w:val="22"/>
        </w:rPr>
        <w:t>5</w:t>
      </w:r>
      <w:r w:rsidR="00332874">
        <w:rPr>
          <w:rFonts w:asciiTheme="minorHAnsi" w:eastAsiaTheme="minorHAnsi" w:hAnsiTheme="minorHAnsi" w:cstheme="minorBidi"/>
          <w:b w:val="0"/>
          <w:color w:val="auto"/>
          <w:sz w:val="22"/>
          <w:szCs w:val="22"/>
        </w:rPr>
        <w:t>, no incidents have triggered the Duty of Candour procedure.</w:t>
      </w:r>
      <w:bookmarkEnd w:id="4"/>
    </w:p>
    <w:p w14:paraId="11ED3DC8" w14:textId="5567DA00" w:rsidR="003E22DD" w:rsidRDefault="003E22DD" w:rsidP="000B25AA">
      <w:pPr>
        <w:pStyle w:val="HillcrestHeading"/>
        <w:jc w:val="both"/>
        <w:rPr>
          <w:rFonts w:asciiTheme="minorHAnsi" w:eastAsiaTheme="minorHAnsi" w:hAnsiTheme="minorHAnsi" w:cstheme="minorBidi"/>
          <w:b w:val="0"/>
          <w:color w:val="auto"/>
          <w:sz w:val="22"/>
          <w:szCs w:val="22"/>
        </w:rPr>
      </w:pPr>
    </w:p>
    <w:p w14:paraId="0C23229F" w14:textId="3A27A968" w:rsidR="003E22DD" w:rsidRDefault="003E22DD" w:rsidP="000B25AA">
      <w:pPr>
        <w:pStyle w:val="HillcrestHeading"/>
        <w:jc w:val="both"/>
        <w:rPr>
          <w:rFonts w:asciiTheme="minorHAnsi" w:eastAsiaTheme="minorHAnsi" w:hAnsiTheme="minorHAnsi" w:cstheme="minorBidi"/>
          <w:b w:val="0"/>
          <w:color w:val="auto"/>
          <w:sz w:val="22"/>
          <w:szCs w:val="22"/>
        </w:rPr>
      </w:pPr>
    </w:p>
    <w:p w14:paraId="7C4868DA" w14:textId="55E26A11" w:rsidR="00FA7E2D" w:rsidRDefault="00FA7E2D" w:rsidP="000B25AA">
      <w:pPr>
        <w:pStyle w:val="HillcrestHeading"/>
        <w:jc w:val="both"/>
        <w:rPr>
          <w:rFonts w:asciiTheme="minorHAnsi" w:eastAsiaTheme="minorHAnsi" w:hAnsiTheme="minorHAnsi" w:cstheme="minorBidi"/>
          <w:b w:val="0"/>
          <w:color w:val="auto"/>
          <w:sz w:val="22"/>
          <w:szCs w:val="22"/>
        </w:rPr>
      </w:pPr>
    </w:p>
    <w:tbl>
      <w:tblPr>
        <w:tblStyle w:val="TableGrid"/>
        <w:tblpPr w:leftFromText="180" w:rightFromText="180" w:vertAnchor="page" w:horzAnchor="margin" w:tblpY="5329"/>
        <w:tblW w:w="0" w:type="auto"/>
        <w:tblLook w:val="04A0" w:firstRow="1" w:lastRow="0" w:firstColumn="1" w:lastColumn="0" w:noHBand="0" w:noVBand="1"/>
      </w:tblPr>
      <w:tblGrid>
        <w:gridCol w:w="7196"/>
        <w:gridCol w:w="1326"/>
      </w:tblGrid>
      <w:tr w:rsidR="00771078" w14:paraId="2378EF72" w14:textId="77777777" w:rsidTr="00771078">
        <w:tc>
          <w:tcPr>
            <w:tcW w:w="7196" w:type="dxa"/>
          </w:tcPr>
          <w:p w14:paraId="30740FF0" w14:textId="77777777" w:rsidR="00771078" w:rsidRDefault="00771078" w:rsidP="000B25AA">
            <w:pPr>
              <w:jc w:val="both"/>
              <w:rPr>
                <w:rFonts w:cstheme="minorHAnsi"/>
              </w:rPr>
            </w:pPr>
            <w:r>
              <w:rPr>
                <w:rFonts w:cstheme="minorHAnsi"/>
              </w:rPr>
              <w:t>Type of Unexpected or Unintended Incident</w:t>
            </w:r>
          </w:p>
        </w:tc>
        <w:tc>
          <w:tcPr>
            <w:tcW w:w="1326" w:type="dxa"/>
          </w:tcPr>
          <w:p w14:paraId="6F943317" w14:textId="77777777" w:rsidR="00771078" w:rsidRDefault="00771078" w:rsidP="000B25AA">
            <w:pPr>
              <w:jc w:val="both"/>
              <w:rPr>
                <w:rFonts w:cstheme="minorHAnsi"/>
              </w:rPr>
            </w:pPr>
            <w:r>
              <w:rPr>
                <w:rFonts w:cstheme="minorHAnsi"/>
              </w:rPr>
              <w:t>No of incidents</w:t>
            </w:r>
          </w:p>
        </w:tc>
      </w:tr>
      <w:tr w:rsidR="00771078" w14:paraId="3220882C" w14:textId="77777777" w:rsidTr="00771078">
        <w:tc>
          <w:tcPr>
            <w:tcW w:w="7196" w:type="dxa"/>
          </w:tcPr>
          <w:p w14:paraId="7186A614" w14:textId="77777777" w:rsidR="00771078" w:rsidRDefault="00771078" w:rsidP="000B25AA">
            <w:pPr>
              <w:jc w:val="both"/>
              <w:rPr>
                <w:rFonts w:cstheme="minorHAnsi"/>
              </w:rPr>
            </w:pPr>
            <w:r>
              <w:rPr>
                <w:rFonts w:cstheme="minorHAnsi"/>
              </w:rPr>
              <w:t>Someone has died</w:t>
            </w:r>
          </w:p>
        </w:tc>
        <w:tc>
          <w:tcPr>
            <w:tcW w:w="1326" w:type="dxa"/>
          </w:tcPr>
          <w:p w14:paraId="559E39E9" w14:textId="77777777" w:rsidR="00771078" w:rsidRDefault="00771078" w:rsidP="000B25AA">
            <w:pPr>
              <w:jc w:val="both"/>
              <w:rPr>
                <w:rFonts w:cstheme="minorHAnsi"/>
              </w:rPr>
            </w:pPr>
            <w:r>
              <w:rPr>
                <w:rFonts w:cstheme="minorHAnsi"/>
              </w:rPr>
              <w:t>0</w:t>
            </w:r>
          </w:p>
        </w:tc>
      </w:tr>
      <w:tr w:rsidR="00771078" w14:paraId="2759E2C4" w14:textId="77777777" w:rsidTr="00771078">
        <w:tc>
          <w:tcPr>
            <w:tcW w:w="7196" w:type="dxa"/>
          </w:tcPr>
          <w:p w14:paraId="2514C25F" w14:textId="77777777" w:rsidR="00771078" w:rsidRDefault="00771078" w:rsidP="000B25AA">
            <w:pPr>
              <w:jc w:val="both"/>
              <w:rPr>
                <w:rFonts w:cstheme="minorHAnsi"/>
              </w:rPr>
            </w:pPr>
            <w:r>
              <w:rPr>
                <w:rFonts w:cstheme="minorHAnsi"/>
              </w:rPr>
              <w:t>Someone has permanent less bodily, sensory, motor, psychological or intellectual functioning</w:t>
            </w:r>
          </w:p>
        </w:tc>
        <w:tc>
          <w:tcPr>
            <w:tcW w:w="1326" w:type="dxa"/>
          </w:tcPr>
          <w:p w14:paraId="28718DCE" w14:textId="77777777" w:rsidR="00771078" w:rsidRDefault="00771078" w:rsidP="000B25AA">
            <w:pPr>
              <w:jc w:val="both"/>
              <w:rPr>
                <w:rFonts w:cstheme="minorHAnsi"/>
              </w:rPr>
            </w:pPr>
            <w:r>
              <w:rPr>
                <w:rFonts w:cstheme="minorHAnsi"/>
              </w:rPr>
              <w:t>0</w:t>
            </w:r>
          </w:p>
        </w:tc>
      </w:tr>
      <w:tr w:rsidR="00771078" w14:paraId="1D02C3A2" w14:textId="77777777" w:rsidTr="00771078">
        <w:tc>
          <w:tcPr>
            <w:tcW w:w="7196" w:type="dxa"/>
          </w:tcPr>
          <w:p w14:paraId="3E5D4541" w14:textId="77777777" w:rsidR="00771078" w:rsidRDefault="00771078" w:rsidP="000B25AA">
            <w:pPr>
              <w:jc w:val="both"/>
              <w:rPr>
                <w:rFonts w:cstheme="minorHAnsi"/>
              </w:rPr>
            </w:pPr>
            <w:r>
              <w:rPr>
                <w:rFonts w:cstheme="minorHAnsi"/>
              </w:rPr>
              <w:t>Someone’s treatment has increased because of harm</w:t>
            </w:r>
          </w:p>
        </w:tc>
        <w:tc>
          <w:tcPr>
            <w:tcW w:w="1326" w:type="dxa"/>
          </w:tcPr>
          <w:p w14:paraId="1B36B677" w14:textId="77777777" w:rsidR="00771078" w:rsidRDefault="00771078" w:rsidP="000B25AA">
            <w:pPr>
              <w:jc w:val="both"/>
              <w:rPr>
                <w:rFonts w:cstheme="minorHAnsi"/>
              </w:rPr>
            </w:pPr>
            <w:r>
              <w:rPr>
                <w:rFonts w:cstheme="minorHAnsi"/>
              </w:rPr>
              <w:t>0</w:t>
            </w:r>
          </w:p>
        </w:tc>
      </w:tr>
      <w:tr w:rsidR="00771078" w14:paraId="55B7D367" w14:textId="77777777" w:rsidTr="00771078">
        <w:tc>
          <w:tcPr>
            <w:tcW w:w="7196" w:type="dxa"/>
          </w:tcPr>
          <w:p w14:paraId="0E17CD82" w14:textId="77777777" w:rsidR="00771078" w:rsidRDefault="00771078" w:rsidP="000B25AA">
            <w:pPr>
              <w:jc w:val="both"/>
              <w:rPr>
                <w:rFonts w:cstheme="minorHAnsi"/>
              </w:rPr>
            </w:pPr>
            <w:r>
              <w:rPr>
                <w:rFonts w:cstheme="minorHAnsi"/>
              </w:rPr>
              <w:t>The structure of someone’s body has changed because of harm</w:t>
            </w:r>
          </w:p>
        </w:tc>
        <w:tc>
          <w:tcPr>
            <w:tcW w:w="1326" w:type="dxa"/>
          </w:tcPr>
          <w:p w14:paraId="4233BBC9" w14:textId="77777777" w:rsidR="00771078" w:rsidRDefault="00771078" w:rsidP="000B25AA">
            <w:pPr>
              <w:jc w:val="both"/>
              <w:rPr>
                <w:rFonts w:cstheme="minorHAnsi"/>
              </w:rPr>
            </w:pPr>
            <w:r>
              <w:rPr>
                <w:rFonts w:cstheme="minorHAnsi"/>
              </w:rPr>
              <w:t>0</w:t>
            </w:r>
          </w:p>
        </w:tc>
      </w:tr>
      <w:tr w:rsidR="00771078" w14:paraId="15DB1B8B" w14:textId="77777777" w:rsidTr="00771078">
        <w:tc>
          <w:tcPr>
            <w:tcW w:w="7196" w:type="dxa"/>
          </w:tcPr>
          <w:p w14:paraId="0835F7E7" w14:textId="77777777" w:rsidR="00771078" w:rsidRDefault="00771078" w:rsidP="000B25AA">
            <w:pPr>
              <w:jc w:val="both"/>
              <w:rPr>
                <w:rFonts w:cstheme="minorHAnsi"/>
              </w:rPr>
            </w:pPr>
            <w:r>
              <w:rPr>
                <w:rFonts w:cstheme="minorHAnsi"/>
              </w:rPr>
              <w:t>Someone’s life expectancy has become shorter because of harm</w:t>
            </w:r>
          </w:p>
        </w:tc>
        <w:tc>
          <w:tcPr>
            <w:tcW w:w="1326" w:type="dxa"/>
          </w:tcPr>
          <w:p w14:paraId="19741876" w14:textId="77777777" w:rsidR="00771078" w:rsidRDefault="00771078" w:rsidP="000B25AA">
            <w:pPr>
              <w:jc w:val="both"/>
              <w:rPr>
                <w:rFonts w:cstheme="minorHAnsi"/>
              </w:rPr>
            </w:pPr>
            <w:r>
              <w:rPr>
                <w:rFonts w:cstheme="minorHAnsi"/>
              </w:rPr>
              <w:t>0</w:t>
            </w:r>
          </w:p>
        </w:tc>
      </w:tr>
      <w:tr w:rsidR="00771078" w14:paraId="7B56828F" w14:textId="77777777" w:rsidTr="00771078">
        <w:tc>
          <w:tcPr>
            <w:tcW w:w="7196" w:type="dxa"/>
          </w:tcPr>
          <w:p w14:paraId="11BC7193" w14:textId="77777777" w:rsidR="00771078" w:rsidRDefault="00771078" w:rsidP="000B25AA">
            <w:pPr>
              <w:jc w:val="both"/>
              <w:rPr>
                <w:rFonts w:cstheme="minorHAnsi"/>
              </w:rPr>
            </w:pPr>
            <w:r>
              <w:rPr>
                <w:rFonts w:cstheme="minorHAnsi"/>
              </w:rPr>
              <w:t>Someone’s sensory, motor, or intellectual functioning has been impaired for 28 days or more</w:t>
            </w:r>
          </w:p>
        </w:tc>
        <w:tc>
          <w:tcPr>
            <w:tcW w:w="1326" w:type="dxa"/>
          </w:tcPr>
          <w:p w14:paraId="055DD239" w14:textId="77777777" w:rsidR="00771078" w:rsidRDefault="00771078" w:rsidP="000B25AA">
            <w:pPr>
              <w:jc w:val="both"/>
              <w:rPr>
                <w:rFonts w:cstheme="minorHAnsi"/>
              </w:rPr>
            </w:pPr>
            <w:r>
              <w:rPr>
                <w:rFonts w:cstheme="minorHAnsi"/>
              </w:rPr>
              <w:t>0</w:t>
            </w:r>
          </w:p>
        </w:tc>
      </w:tr>
      <w:tr w:rsidR="00771078" w14:paraId="54A6FD2E" w14:textId="77777777" w:rsidTr="00771078">
        <w:tc>
          <w:tcPr>
            <w:tcW w:w="7196" w:type="dxa"/>
          </w:tcPr>
          <w:p w14:paraId="40DBAE72" w14:textId="77777777" w:rsidR="00771078" w:rsidRDefault="00771078" w:rsidP="000B25AA">
            <w:pPr>
              <w:jc w:val="both"/>
              <w:rPr>
                <w:rFonts w:cstheme="minorHAnsi"/>
              </w:rPr>
            </w:pPr>
            <w:r>
              <w:rPr>
                <w:rFonts w:cstheme="minorHAnsi"/>
              </w:rPr>
              <w:t>Someone has experienced pain or psychological harm for 28 days or more</w:t>
            </w:r>
          </w:p>
        </w:tc>
        <w:tc>
          <w:tcPr>
            <w:tcW w:w="1326" w:type="dxa"/>
          </w:tcPr>
          <w:p w14:paraId="46C0270D" w14:textId="77777777" w:rsidR="00771078" w:rsidRDefault="00771078" w:rsidP="000B25AA">
            <w:pPr>
              <w:jc w:val="both"/>
              <w:rPr>
                <w:rFonts w:cstheme="minorHAnsi"/>
              </w:rPr>
            </w:pPr>
            <w:r>
              <w:rPr>
                <w:rFonts w:cstheme="minorHAnsi"/>
              </w:rPr>
              <w:t>0</w:t>
            </w:r>
          </w:p>
        </w:tc>
      </w:tr>
      <w:tr w:rsidR="00771078" w14:paraId="31E4109F" w14:textId="77777777" w:rsidTr="00771078">
        <w:tc>
          <w:tcPr>
            <w:tcW w:w="7196" w:type="dxa"/>
          </w:tcPr>
          <w:p w14:paraId="254BB749" w14:textId="77777777" w:rsidR="00771078" w:rsidRDefault="00771078" w:rsidP="000B25AA">
            <w:pPr>
              <w:jc w:val="both"/>
              <w:rPr>
                <w:rFonts w:cstheme="minorHAnsi"/>
              </w:rPr>
            </w:pPr>
            <w:r>
              <w:rPr>
                <w:rFonts w:cstheme="minorHAnsi"/>
              </w:rPr>
              <w:t xml:space="preserve">A person required health treatment </w:t>
            </w:r>
            <w:proofErr w:type="gramStart"/>
            <w:r>
              <w:rPr>
                <w:rFonts w:cstheme="minorHAnsi"/>
              </w:rPr>
              <w:t>in order to</w:t>
            </w:r>
            <w:proofErr w:type="gramEnd"/>
            <w:r>
              <w:rPr>
                <w:rFonts w:cstheme="minorHAnsi"/>
              </w:rPr>
              <w:t xml:space="preserve"> prevent them dying</w:t>
            </w:r>
          </w:p>
        </w:tc>
        <w:tc>
          <w:tcPr>
            <w:tcW w:w="1326" w:type="dxa"/>
          </w:tcPr>
          <w:p w14:paraId="64C342BC" w14:textId="77777777" w:rsidR="00771078" w:rsidRDefault="00771078" w:rsidP="000B25AA">
            <w:pPr>
              <w:jc w:val="both"/>
              <w:rPr>
                <w:rFonts w:cstheme="minorHAnsi"/>
              </w:rPr>
            </w:pPr>
            <w:r>
              <w:rPr>
                <w:rFonts w:cstheme="minorHAnsi"/>
              </w:rPr>
              <w:t>0</w:t>
            </w:r>
          </w:p>
        </w:tc>
      </w:tr>
      <w:tr w:rsidR="00771078" w14:paraId="062A80E5" w14:textId="77777777" w:rsidTr="00771078">
        <w:tc>
          <w:tcPr>
            <w:tcW w:w="7196" w:type="dxa"/>
          </w:tcPr>
          <w:p w14:paraId="155E73F0" w14:textId="77777777" w:rsidR="00771078" w:rsidRDefault="00771078" w:rsidP="000B25AA">
            <w:pPr>
              <w:jc w:val="both"/>
              <w:rPr>
                <w:rFonts w:cstheme="minorHAnsi"/>
              </w:rPr>
            </w:pPr>
            <w:r>
              <w:rPr>
                <w:rFonts w:cstheme="minorHAnsi"/>
              </w:rPr>
              <w:t xml:space="preserve">A person required health treatment </w:t>
            </w:r>
            <w:proofErr w:type="gramStart"/>
            <w:r>
              <w:rPr>
                <w:rFonts w:cstheme="minorHAnsi"/>
              </w:rPr>
              <w:t>in order to</w:t>
            </w:r>
            <w:proofErr w:type="gramEnd"/>
            <w:r>
              <w:rPr>
                <w:rFonts w:cstheme="minorHAnsi"/>
              </w:rPr>
              <w:t xml:space="preserve"> prevent other injuries</w:t>
            </w:r>
          </w:p>
        </w:tc>
        <w:tc>
          <w:tcPr>
            <w:tcW w:w="1326" w:type="dxa"/>
          </w:tcPr>
          <w:p w14:paraId="63927F4C" w14:textId="77777777" w:rsidR="00771078" w:rsidRDefault="00771078" w:rsidP="000B25AA">
            <w:pPr>
              <w:jc w:val="both"/>
              <w:rPr>
                <w:rFonts w:cstheme="minorHAnsi"/>
              </w:rPr>
            </w:pPr>
            <w:r>
              <w:rPr>
                <w:rFonts w:cstheme="minorHAnsi"/>
              </w:rPr>
              <w:t>0</w:t>
            </w:r>
          </w:p>
        </w:tc>
      </w:tr>
    </w:tbl>
    <w:p w14:paraId="231A76E4" w14:textId="4C9FD539" w:rsidR="00FA7E2D" w:rsidRDefault="006122FF" w:rsidP="000B25AA">
      <w:pPr>
        <w:pStyle w:val="HillcrestHeading"/>
        <w:jc w:val="both"/>
      </w:pPr>
      <w:r>
        <w:t xml:space="preserve"> </w:t>
      </w:r>
      <w:bookmarkStart w:id="5" w:name="_Toc135297795"/>
      <w:r>
        <w:t xml:space="preserve">4 – </w:t>
      </w:r>
      <w:r w:rsidR="007F1BDE">
        <w:t>Our Procedure and Processes</w:t>
      </w:r>
      <w:bookmarkEnd w:id="5"/>
    </w:p>
    <w:p w14:paraId="29527E3D" w14:textId="77777777" w:rsidR="00FA7E2D" w:rsidRDefault="00FA7E2D" w:rsidP="000B25AA">
      <w:pPr>
        <w:ind w:left="720"/>
        <w:jc w:val="both"/>
        <w:rPr>
          <w:rFonts w:cstheme="minorHAnsi"/>
          <w:b/>
        </w:rPr>
      </w:pPr>
    </w:p>
    <w:p w14:paraId="4C7B1563" w14:textId="2063BC08" w:rsidR="00FA7E2D" w:rsidRPr="00FA7E2D" w:rsidRDefault="00FA7E2D" w:rsidP="000B25AA">
      <w:pPr>
        <w:jc w:val="both"/>
        <w:rPr>
          <w:rFonts w:cstheme="minorHAnsi"/>
        </w:rPr>
      </w:pPr>
      <w:r w:rsidRPr="00FA7E2D">
        <w:rPr>
          <w:rFonts w:cstheme="minorHAnsi"/>
        </w:rPr>
        <w:t>We have had no Duty of Candour incidents in</w:t>
      </w:r>
      <w:r w:rsidR="00DB7579">
        <w:rPr>
          <w:rFonts w:cstheme="minorHAnsi"/>
        </w:rPr>
        <w:t xml:space="preserve"> the reporting period April 202</w:t>
      </w:r>
      <w:r w:rsidR="00FB280A">
        <w:rPr>
          <w:rFonts w:cstheme="minorHAnsi"/>
        </w:rPr>
        <w:t>4</w:t>
      </w:r>
      <w:r w:rsidR="00DB7579">
        <w:rPr>
          <w:rFonts w:cstheme="minorHAnsi"/>
        </w:rPr>
        <w:t xml:space="preserve"> – April 202</w:t>
      </w:r>
      <w:r w:rsidR="00FB280A">
        <w:rPr>
          <w:rFonts w:cstheme="minorHAnsi"/>
        </w:rPr>
        <w:t>5</w:t>
      </w:r>
      <w:r w:rsidRPr="00FA7E2D">
        <w:rPr>
          <w:rFonts w:cstheme="minorHAnsi"/>
        </w:rPr>
        <w:t>.</w:t>
      </w:r>
    </w:p>
    <w:p w14:paraId="38A93F1F" w14:textId="680A430B" w:rsidR="006122FF" w:rsidRPr="003E22DD" w:rsidRDefault="006122FF" w:rsidP="000B25AA">
      <w:pPr>
        <w:jc w:val="both"/>
      </w:pPr>
    </w:p>
    <w:p w14:paraId="013879F0" w14:textId="1C6F1C82" w:rsidR="006122FF" w:rsidRDefault="006122FF" w:rsidP="000B25AA">
      <w:pPr>
        <w:pStyle w:val="HillcrestHeading"/>
        <w:jc w:val="both"/>
      </w:pPr>
      <w:r>
        <w:t xml:space="preserve"> </w:t>
      </w:r>
      <w:bookmarkStart w:id="6" w:name="_Toc135297796"/>
      <w:r>
        <w:t xml:space="preserve">5 – </w:t>
      </w:r>
      <w:r w:rsidR="007F1BDE">
        <w:t>Procedure Followed</w:t>
      </w:r>
      <w:bookmarkEnd w:id="6"/>
    </w:p>
    <w:p w14:paraId="6EAA9013" w14:textId="5D28F664" w:rsidR="006122FF" w:rsidRDefault="006122FF" w:rsidP="000B25AA">
      <w:pPr>
        <w:jc w:val="both"/>
      </w:pPr>
    </w:p>
    <w:p w14:paraId="07813D63" w14:textId="56E5C730" w:rsidR="00944BBD" w:rsidRDefault="00944BBD" w:rsidP="000B25AA">
      <w:pPr>
        <w:jc w:val="both"/>
      </w:pPr>
      <w:r>
        <w:t>Not applicable</w:t>
      </w:r>
    </w:p>
    <w:p w14:paraId="078460B0" w14:textId="77777777" w:rsidR="006122FF" w:rsidRDefault="006122FF" w:rsidP="000B25AA">
      <w:pPr>
        <w:pStyle w:val="HillcrestHeading"/>
        <w:jc w:val="both"/>
        <w:rPr>
          <w:rFonts w:asciiTheme="minorHAnsi" w:eastAsiaTheme="minorHAnsi" w:hAnsiTheme="minorHAnsi" w:cstheme="minorBidi"/>
          <w:b w:val="0"/>
          <w:color w:val="auto"/>
          <w:sz w:val="22"/>
          <w:szCs w:val="22"/>
        </w:rPr>
      </w:pPr>
    </w:p>
    <w:p w14:paraId="76F08012" w14:textId="6EEC98F0" w:rsidR="006122FF" w:rsidRDefault="006122FF" w:rsidP="000B25AA">
      <w:pPr>
        <w:pStyle w:val="HillcrestHeading"/>
        <w:jc w:val="both"/>
      </w:pPr>
      <w:r>
        <w:t xml:space="preserve"> </w:t>
      </w:r>
      <w:bookmarkStart w:id="7" w:name="_Toc135297797"/>
      <w:r>
        <w:t xml:space="preserve">6 – </w:t>
      </w:r>
      <w:r w:rsidR="007F1BDE">
        <w:t>Learning Outcomes</w:t>
      </w:r>
      <w:bookmarkEnd w:id="7"/>
    </w:p>
    <w:p w14:paraId="05B43371" w14:textId="77777777" w:rsidR="00944BBD" w:rsidRDefault="00944BBD" w:rsidP="000B25AA">
      <w:pPr>
        <w:pStyle w:val="HillcrestHeading"/>
        <w:jc w:val="both"/>
      </w:pPr>
    </w:p>
    <w:p w14:paraId="0A4C6DA3" w14:textId="34A9BE0C" w:rsidR="006122FF" w:rsidRDefault="00944BBD" w:rsidP="000B25AA">
      <w:pPr>
        <w:jc w:val="both"/>
      </w:pPr>
      <w:r>
        <w:t>Not applicable</w:t>
      </w:r>
    </w:p>
    <w:p w14:paraId="3356BF92" w14:textId="77777777" w:rsidR="007F1BDE" w:rsidRDefault="007F1BDE" w:rsidP="000B25AA">
      <w:pPr>
        <w:jc w:val="both"/>
      </w:pPr>
    </w:p>
    <w:p w14:paraId="630AAB82" w14:textId="6591134B" w:rsidR="006122FF" w:rsidRDefault="006122FF" w:rsidP="000B25AA">
      <w:pPr>
        <w:pStyle w:val="HillcrestHeading"/>
        <w:jc w:val="both"/>
      </w:pPr>
      <w:r>
        <w:t xml:space="preserve"> </w:t>
      </w:r>
      <w:bookmarkStart w:id="8" w:name="_Toc135297798"/>
      <w:r>
        <w:t>7</w:t>
      </w:r>
      <w:r w:rsidR="007F1BDE">
        <w:t xml:space="preserve"> – Other information</w:t>
      </w:r>
      <w:bookmarkEnd w:id="8"/>
    </w:p>
    <w:p w14:paraId="552E600C" w14:textId="72BB269C" w:rsidR="006122FF" w:rsidRDefault="006122FF" w:rsidP="000B25AA">
      <w:pPr>
        <w:jc w:val="both"/>
      </w:pPr>
    </w:p>
    <w:p w14:paraId="3826B210" w14:textId="53029B61" w:rsidR="00944BBD" w:rsidRPr="00944BBD" w:rsidRDefault="00944BBD" w:rsidP="000B25AA">
      <w:pPr>
        <w:jc w:val="both"/>
        <w:rPr>
          <w:rFonts w:cstheme="minorHAnsi"/>
        </w:rPr>
      </w:pPr>
      <w:r>
        <w:rPr>
          <w:rFonts w:cstheme="minorHAnsi"/>
        </w:rPr>
        <w:t>Over the last year (April 202</w:t>
      </w:r>
      <w:r w:rsidR="000B25AA">
        <w:rPr>
          <w:rFonts w:cstheme="minorHAnsi"/>
        </w:rPr>
        <w:t>4</w:t>
      </w:r>
      <w:r>
        <w:rPr>
          <w:rFonts w:cstheme="minorHAnsi"/>
        </w:rPr>
        <w:t>-April 202</w:t>
      </w:r>
      <w:r w:rsidR="000B25AA">
        <w:rPr>
          <w:rFonts w:cstheme="minorHAnsi"/>
        </w:rPr>
        <w:t>5</w:t>
      </w:r>
      <w:r w:rsidRPr="00944BBD">
        <w:rPr>
          <w:rFonts w:cstheme="minorHAnsi"/>
        </w:rPr>
        <w:t>) we have supported our frontline staff to complete on-line training in relation to Duty of Candour</w:t>
      </w:r>
      <w:r w:rsidR="000B25AA">
        <w:rPr>
          <w:rFonts w:cstheme="minorHAnsi"/>
        </w:rPr>
        <w:t>.</w:t>
      </w:r>
    </w:p>
    <w:p w14:paraId="3F89D3D9" w14:textId="77777777" w:rsidR="00944BBD" w:rsidRPr="00944BBD" w:rsidRDefault="00944BBD" w:rsidP="000B25AA">
      <w:pPr>
        <w:jc w:val="both"/>
        <w:rPr>
          <w:rFonts w:cstheme="minorHAnsi"/>
        </w:rPr>
      </w:pPr>
      <w:r w:rsidRPr="00944BBD">
        <w:rPr>
          <w:rFonts w:cstheme="minorHAnsi"/>
        </w:rPr>
        <w:t>We will continue to promote this training as mandatory for all staff working within Hillcrest Futures.</w:t>
      </w:r>
    </w:p>
    <w:p w14:paraId="2F39F978" w14:textId="5E2438E6" w:rsidR="00944BBD" w:rsidRDefault="00944BBD" w:rsidP="000B25AA">
      <w:pPr>
        <w:jc w:val="both"/>
      </w:pPr>
    </w:p>
    <w:p w14:paraId="2EA7B442" w14:textId="77777777" w:rsidR="00944BBD" w:rsidRDefault="00944BBD" w:rsidP="000B25AA">
      <w:pPr>
        <w:jc w:val="both"/>
      </w:pPr>
    </w:p>
    <w:p w14:paraId="253D26B9" w14:textId="77777777" w:rsidR="006122FF" w:rsidRDefault="006122FF" w:rsidP="000B25AA">
      <w:pPr>
        <w:jc w:val="both"/>
      </w:pPr>
    </w:p>
    <w:sectPr w:rsidR="006122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C6763"/>
    <w:multiLevelType w:val="hybridMultilevel"/>
    <w:tmpl w:val="FC526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229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11F"/>
    <w:rsid w:val="00027967"/>
    <w:rsid w:val="000B25AA"/>
    <w:rsid w:val="00136BD5"/>
    <w:rsid w:val="002C6CE6"/>
    <w:rsid w:val="002E52EC"/>
    <w:rsid w:val="00330275"/>
    <w:rsid w:val="00332874"/>
    <w:rsid w:val="003A04C2"/>
    <w:rsid w:val="003E22DD"/>
    <w:rsid w:val="003E2CC1"/>
    <w:rsid w:val="00407B4C"/>
    <w:rsid w:val="00452E4B"/>
    <w:rsid w:val="004B4F62"/>
    <w:rsid w:val="006122FF"/>
    <w:rsid w:val="006C7BEB"/>
    <w:rsid w:val="0071198C"/>
    <w:rsid w:val="00721006"/>
    <w:rsid w:val="00771078"/>
    <w:rsid w:val="007E1A6F"/>
    <w:rsid w:val="007F1BDE"/>
    <w:rsid w:val="00834F07"/>
    <w:rsid w:val="008542E7"/>
    <w:rsid w:val="009232AB"/>
    <w:rsid w:val="00944BBD"/>
    <w:rsid w:val="009532B3"/>
    <w:rsid w:val="00A11ECC"/>
    <w:rsid w:val="00A53429"/>
    <w:rsid w:val="00B61DCF"/>
    <w:rsid w:val="00B90763"/>
    <w:rsid w:val="00C4329E"/>
    <w:rsid w:val="00DB7579"/>
    <w:rsid w:val="00DE111F"/>
    <w:rsid w:val="00E2570E"/>
    <w:rsid w:val="00F94CCE"/>
    <w:rsid w:val="00FA7E2D"/>
    <w:rsid w:val="00FB2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54F4"/>
  <w15:chartTrackingRefBased/>
  <w15:docId w15:val="{02BE1B69-41CD-40A5-8084-CB621831F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11F"/>
  </w:style>
  <w:style w:type="paragraph" w:styleId="Heading1">
    <w:name w:val="heading 1"/>
    <w:basedOn w:val="Normal"/>
    <w:next w:val="Normal"/>
    <w:link w:val="Heading1Char"/>
    <w:uiPriority w:val="9"/>
    <w:qFormat/>
    <w:rsid w:val="00DE11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11F"/>
    <w:rPr>
      <w:rFonts w:asciiTheme="majorHAnsi" w:eastAsiaTheme="majorEastAsia" w:hAnsiTheme="majorHAnsi" w:cstheme="majorBidi"/>
      <w:color w:val="2F5496" w:themeColor="accent1" w:themeShade="BF"/>
      <w:sz w:val="32"/>
      <w:szCs w:val="32"/>
    </w:rPr>
  </w:style>
  <w:style w:type="paragraph" w:customStyle="1" w:styleId="HillcrestHeading">
    <w:name w:val="Hillcrest Heading"/>
    <w:basedOn w:val="Heading1"/>
    <w:link w:val="HillcrestHeadingChar"/>
    <w:qFormat/>
    <w:rsid w:val="00DE111F"/>
    <w:rPr>
      <w:b/>
      <w:color w:val="00A9CE"/>
    </w:rPr>
  </w:style>
  <w:style w:type="character" w:customStyle="1" w:styleId="HillcrestHeadingChar">
    <w:name w:val="Hillcrest Heading Char"/>
    <w:basedOn w:val="Heading1Char"/>
    <w:link w:val="HillcrestHeading"/>
    <w:rsid w:val="00DE111F"/>
    <w:rPr>
      <w:rFonts w:asciiTheme="majorHAnsi" w:eastAsiaTheme="majorEastAsia" w:hAnsiTheme="majorHAnsi" w:cstheme="majorBidi"/>
      <w:b/>
      <w:color w:val="00A9CE"/>
      <w:sz w:val="32"/>
      <w:szCs w:val="32"/>
    </w:rPr>
  </w:style>
  <w:style w:type="paragraph" w:styleId="TOCHeading">
    <w:name w:val="TOC Heading"/>
    <w:basedOn w:val="Heading1"/>
    <w:next w:val="Normal"/>
    <w:uiPriority w:val="39"/>
    <w:unhideWhenUsed/>
    <w:qFormat/>
    <w:rsid w:val="00834F07"/>
    <w:pPr>
      <w:outlineLvl w:val="9"/>
    </w:pPr>
    <w:rPr>
      <w:kern w:val="0"/>
      <w:lang w:eastAsia="en-GB"/>
      <w14:ligatures w14:val="none"/>
    </w:rPr>
  </w:style>
  <w:style w:type="paragraph" w:styleId="TOC1">
    <w:name w:val="toc 1"/>
    <w:basedOn w:val="Normal"/>
    <w:next w:val="Normal"/>
    <w:autoRedefine/>
    <w:uiPriority w:val="39"/>
    <w:unhideWhenUsed/>
    <w:rsid w:val="00834F07"/>
    <w:pPr>
      <w:spacing w:after="100"/>
    </w:pPr>
  </w:style>
  <w:style w:type="character" w:styleId="Hyperlink">
    <w:name w:val="Hyperlink"/>
    <w:basedOn w:val="DefaultParagraphFont"/>
    <w:uiPriority w:val="99"/>
    <w:unhideWhenUsed/>
    <w:rsid w:val="00834F07"/>
    <w:rPr>
      <w:color w:val="0563C1" w:themeColor="hyperlink"/>
      <w:u w:val="single"/>
    </w:rPr>
  </w:style>
  <w:style w:type="table" w:styleId="TableGrid">
    <w:name w:val="Table Grid"/>
    <w:basedOn w:val="TableNormal"/>
    <w:rsid w:val="0077107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7E2D"/>
    <w:pPr>
      <w:spacing w:after="200" w:line="27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C38E9-F08F-477F-A8FC-776D64777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Pattie</dc:creator>
  <cp:keywords/>
  <dc:description/>
  <cp:lastModifiedBy>Rebecca Phin</cp:lastModifiedBy>
  <cp:revision>2</cp:revision>
  <dcterms:created xsi:type="dcterms:W3CDTF">2026-06-18T08:01:00Z</dcterms:created>
  <dcterms:modified xsi:type="dcterms:W3CDTF">2026-06-18T08:01:00Z</dcterms:modified>
</cp:coreProperties>
</file>