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90871" w14:textId="105C59FB" w:rsidR="004D12A7" w:rsidRDefault="004D12A7" w:rsidP="00053BC3">
      <w:r>
        <w:rPr>
          <w:b/>
          <w:noProof/>
          <w:sz w:val="40"/>
          <w:szCs w:val="40"/>
        </w:rPr>
        <w:drawing>
          <wp:anchor distT="0" distB="0" distL="114300" distR="114300" simplePos="0" relativeHeight="251658240" behindDoc="1" locked="0" layoutInCell="1" allowOverlap="1" wp14:anchorId="0E17F226" wp14:editId="0AAEE84B">
            <wp:simplePos x="0" y="0"/>
            <wp:positionH relativeFrom="margin">
              <wp:posOffset>1143000</wp:posOffset>
            </wp:positionH>
            <wp:positionV relativeFrom="paragraph">
              <wp:posOffset>0</wp:posOffset>
            </wp:positionV>
            <wp:extent cx="3419475" cy="1419225"/>
            <wp:effectExtent l="0" t="0" r="9525" b="9525"/>
            <wp:wrapNone/>
            <wp:docPr id="840681192" name="Picture 840681192" descr="A logo with text overlay&#10;&#10;Description automatically generated">
              <a:extLst xmlns:a="http://schemas.openxmlformats.org/drawingml/2006/main">
                <a:ext uri="{FF2B5EF4-FFF2-40B4-BE49-F238E27FC236}">
                  <a16:creationId xmlns:a16="http://schemas.microsoft.com/office/drawing/2014/main" id="{3DFFF972-E465-44C3-B7D8-FE221DCB5F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681192" name="Picture 840681192" descr="A logo with text overla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19475" cy="1419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BFA609" w14:textId="43CC516B" w:rsidR="004D12A7" w:rsidRDefault="004D12A7" w:rsidP="00053BC3"/>
    <w:p w14:paraId="6D9F7A30" w14:textId="77777777" w:rsidR="004D12A7" w:rsidRDefault="004D12A7" w:rsidP="00053BC3"/>
    <w:p w14:paraId="4649397B" w14:textId="77777777" w:rsidR="004D12A7" w:rsidRDefault="004D12A7" w:rsidP="00053BC3"/>
    <w:p w14:paraId="5EA43C27" w14:textId="77777777" w:rsidR="004D12A7" w:rsidRDefault="004D12A7" w:rsidP="00053BC3"/>
    <w:p w14:paraId="21FD73A7" w14:textId="77777777" w:rsidR="004D12A7" w:rsidRDefault="004D12A7" w:rsidP="004D12A7">
      <w:pPr>
        <w:pStyle w:val="BodyText3"/>
        <w:jc w:val="center"/>
        <w:rPr>
          <w:rFonts w:ascii="Arial" w:hAnsi="Arial" w:cs="Arial"/>
          <w:color w:val="002060"/>
          <w:sz w:val="44"/>
          <w:szCs w:val="44"/>
        </w:rPr>
      </w:pPr>
    </w:p>
    <w:p w14:paraId="2C23DBCC" w14:textId="77777777" w:rsidR="004D12A7" w:rsidRDefault="004D12A7" w:rsidP="004D12A7">
      <w:pPr>
        <w:pStyle w:val="BodyText3"/>
        <w:jc w:val="center"/>
        <w:rPr>
          <w:rFonts w:ascii="Arial" w:hAnsi="Arial" w:cs="Arial"/>
          <w:color w:val="002060"/>
          <w:sz w:val="44"/>
          <w:szCs w:val="44"/>
        </w:rPr>
      </w:pPr>
    </w:p>
    <w:p w14:paraId="4844AB0E" w14:textId="002834FD" w:rsidR="004D12A7" w:rsidRPr="00D52F36" w:rsidRDefault="004D12A7" w:rsidP="004D12A7">
      <w:pPr>
        <w:pStyle w:val="BodyText3"/>
        <w:jc w:val="center"/>
        <w:rPr>
          <w:rFonts w:ascii="Arial" w:hAnsi="Arial" w:cs="Arial"/>
          <w:color w:val="002060"/>
          <w:sz w:val="44"/>
          <w:szCs w:val="44"/>
        </w:rPr>
      </w:pPr>
      <w:r>
        <w:rPr>
          <w:rFonts w:ascii="Arial" w:hAnsi="Arial" w:cs="Arial"/>
          <w:color w:val="002060"/>
          <w:sz w:val="44"/>
          <w:szCs w:val="44"/>
        </w:rPr>
        <w:t>Adult Safeguarding &amp; Protection Policy</w:t>
      </w:r>
    </w:p>
    <w:p w14:paraId="0D63209D" w14:textId="77777777" w:rsidR="004D12A7" w:rsidRPr="00A544A0" w:rsidRDefault="004D12A7" w:rsidP="004D12A7">
      <w:pPr>
        <w:pStyle w:val="BodyText3"/>
        <w:rPr>
          <w:rFonts w:ascii="Arial" w:hAnsi="Arial" w:cs="Arial"/>
          <w:color w:val="002060"/>
        </w:rPr>
      </w:pPr>
    </w:p>
    <w:p w14:paraId="2EE6E96C" w14:textId="77777777" w:rsidR="004D12A7" w:rsidRDefault="004D12A7" w:rsidP="004D12A7">
      <w:pPr>
        <w:pStyle w:val="BodyText3"/>
        <w:rPr>
          <w:rFonts w:ascii="Comic Sans MS" w:hAnsi="Comic Sans MS"/>
        </w:rPr>
      </w:pPr>
    </w:p>
    <w:p w14:paraId="6B95AB86" w14:textId="77777777" w:rsidR="004D12A7" w:rsidRDefault="004D12A7" w:rsidP="004D12A7">
      <w:pPr>
        <w:pStyle w:val="BodyText3"/>
        <w:rPr>
          <w:rFonts w:ascii="Comic Sans MS" w:hAnsi="Comic Sans MS"/>
        </w:rPr>
      </w:pPr>
    </w:p>
    <w:p w14:paraId="67E224F8" w14:textId="77777777" w:rsidR="004D12A7" w:rsidRDefault="004D12A7" w:rsidP="004D12A7">
      <w:pPr>
        <w:pStyle w:val="BodyText3"/>
        <w:rPr>
          <w:rFonts w:ascii="Comic Sans MS" w:hAnsi="Comic Sans MS"/>
        </w:rPr>
      </w:pPr>
    </w:p>
    <w:p w14:paraId="69B13082" w14:textId="77777777" w:rsidR="004D12A7" w:rsidRDefault="004D12A7" w:rsidP="004D12A7">
      <w:pPr>
        <w:pStyle w:val="BodyText3"/>
        <w:rPr>
          <w:rFonts w:ascii="Comic Sans MS" w:hAnsi="Comic Sans MS"/>
        </w:rPr>
      </w:pPr>
    </w:p>
    <w:tbl>
      <w:tblPr>
        <w:tblW w:w="0" w:type="auto"/>
        <w:tblInd w:w="1133"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2496"/>
        <w:gridCol w:w="1425"/>
        <w:gridCol w:w="1900"/>
        <w:gridCol w:w="950"/>
      </w:tblGrid>
      <w:tr w:rsidR="004D12A7" w14:paraId="69192DC6" w14:textId="77777777" w:rsidTr="00842D53">
        <w:trPr>
          <w:trHeight w:val="93"/>
        </w:trPr>
        <w:tc>
          <w:tcPr>
            <w:tcW w:w="3921" w:type="dxa"/>
            <w:gridSpan w:val="2"/>
            <w:tcBorders>
              <w:top w:val="single" w:sz="4" w:space="0" w:color="002060"/>
              <w:left w:val="single" w:sz="4" w:space="0" w:color="002060"/>
              <w:bottom w:val="single" w:sz="4" w:space="0" w:color="002060"/>
              <w:right w:val="single" w:sz="4" w:space="0" w:color="002060"/>
            </w:tcBorders>
            <w:hideMark/>
          </w:tcPr>
          <w:p w14:paraId="4D9ED314" w14:textId="77777777" w:rsidR="004D12A7" w:rsidRPr="009D5AD2" w:rsidRDefault="004D12A7" w:rsidP="00842D53">
            <w:pPr>
              <w:rPr>
                <w:rFonts w:ascii="Arial" w:hAnsi="Arial" w:cs="Arial"/>
                <w:b/>
                <w:color w:val="002060"/>
                <w:sz w:val="22"/>
                <w:szCs w:val="22"/>
              </w:rPr>
            </w:pPr>
            <w:r w:rsidRPr="009D5AD2">
              <w:rPr>
                <w:rFonts w:ascii="Arial" w:hAnsi="Arial" w:cs="Arial"/>
                <w:b/>
                <w:color w:val="002060"/>
              </w:rPr>
              <w:t>Policy Name</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611476A9" w14:textId="7D1100A0" w:rsidR="004D12A7" w:rsidRPr="009D5AD2" w:rsidRDefault="00B601EE" w:rsidP="00842D53">
            <w:pPr>
              <w:rPr>
                <w:rFonts w:ascii="Arial" w:hAnsi="Arial" w:cs="Arial"/>
                <w:color w:val="002060"/>
                <w:sz w:val="22"/>
                <w:szCs w:val="22"/>
              </w:rPr>
            </w:pPr>
            <w:r>
              <w:rPr>
                <w:rFonts w:ascii="Arial" w:hAnsi="Arial" w:cs="Arial"/>
                <w:color w:val="002060"/>
              </w:rPr>
              <w:t>Adult</w:t>
            </w:r>
            <w:r w:rsidR="004D12A7" w:rsidRPr="009D5AD2">
              <w:rPr>
                <w:rFonts w:ascii="Arial" w:hAnsi="Arial" w:cs="Arial"/>
                <w:color w:val="002060"/>
              </w:rPr>
              <w:t xml:space="preserve"> Protection Policy </w:t>
            </w:r>
          </w:p>
        </w:tc>
      </w:tr>
      <w:tr w:rsidR="004D12A7" w14:paraId="7751C13F" w14:textId="77777777" w:rsidTr="00842D53">
        <w:trPr>
          <w:trHeight w:val="280"/>
        </w:trPr>
        <w:tc>
          <w:tcPr>
            <w:tcW w:w="3921" w:type="dxa"/>
            <w:gridSpan w:val="2"/>
            <w:tcBorders>
              <w:top w:val="single" w:sz="4" w:space="0" w:color="002060"/>
              <w:left w:val="single" w:sz="4" w:space="0" w:color="002060"/>
              <w:bottom w:val="single" w:sz="4" w:space="0" w:color="002060"/>
              <w:right w:val="single" w:sz="4" w:space="0" w:color="002060"/>
            </w:tcBorders>
            <w:hideMark/>
          </w:tcPr>
          <w:p w14:paraId="05FDF2DA" w14:textId="77777777" w:rsidR="004D12A7" w:rsidRPr="009D5AD2" w:rsidRDefault="004D12A7" w:rsidP="00842D53">
            <w:pPr>
              <w:rPr>
                <w:rFonts w:ascii="Arial" w:hAnsi="Arial" w:cs="Arial"/>
                <w:b/>
                <w:color w:val="002060"/>
                <w:sz w:val="22"/>
                <w:szCs w:val="22"/>
              </w:rPr>
            </w:pPr>
            <w:r w:rsidRPr="009D5AD2">
              <w:rPr>
                <w:rFonts w:ascii="Arial" w:hAnsi="Arial" w:cs="Arial"/>
                <w:b/>
                <w:color w:val="002060"/>
              </w:rPr>
              <w:t>Policy Ref</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7A5A5A93" w14:textId="77777777" w:rsidR="004D12A7" w:rsidRPr="009D5AD2" w:rsidRDefault="004D12A7" w:rsidP="00842D53">
            <w:pPr>
              <w:rPr>
                <w:rFonts w:ascii="Arial" w:hAnsi="Arial" w:cs="Arial"/>
                <w:color w:val="002060"/>
              </w:rPr>
            </w:pPr>
            <w:r w:rsidRPr="08917EEE">
              <w:rPr>
                <w:rFonts w:ascii="Arial" w:hAnsi="Arial" w:cs="Arial"/>
                <w:color w:val="002060"/>
              </w:rPr>
              <w:t>HM &amp; Corporate</w:t>
            </w:r>
          </w:p>
        </w:tc>
      </w:tr>
      <w:tr w:rsidR="004D12A7" w14:paraId="01393213" w14:textId="77777777" w:rsidTr="00842D53">
        <w:trPr>
          <w:trHeight w:val="290"/>
        </w:trPr>
        <w:tc>
          <w:tcPr>
            <w:tcW w:w="3921" w:type="dxa"/>
            <w:gridSpan w:val="2"/>
            <w:tcBorders>
              <w:top w:val="single" w:sz="4" w:space="0" w:color="002060"/>
              <w:left w:val="single" w:sz="4" w:space="0" w:color="002060"/>
              <w:bottom w:val="single" w:sz="4" w:space="0" w:color="002060"/>
              <w:right w:val="single" w:sz="4" w:space="0" w:color="002060"/>
            </w:tcBorders>
            <w:hideMark/>
          </w:tcPr>
          <w:p w14:paraId="166F73DE" w14:textId="77777777" w:rsidR="004D12A7" w:rsidRPr="009D5AD2" w:rsidRDefault="004D12A7" w:rsidP="00842D53">
            <w:pPr>
              <w:rPr>
                <w:rFonts w:ascii="Arial" w:hAnsi="Arial" w:cs="Arial"/>
                <w:b/>
                <w:color w:val="002060"/>
                <w:sz w:val="22"/>
                <w:szCs w:val="22"/>
              </w:rPr>
            </w:pPr>
            <w:r w:rsidRPr="009D5AD2">
              <w:rPr>
                <w:rFonts w:ascii="Arial" w:hAnsi="Arial" w:cs="Arial"/>
                <w:b/>
                <w:color w:val="002060"/>
              </w:rPr>
              <w:t>Review Date</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4CBCC75E" w14:textId="09CB8120" w:rsidR="004D12A7" w:rsidRPr="009D5AD2" w:rsidRDefault="00B601EE" w:rsidP="00842D53">
            <w:pPr>
              <w:rPr>
                <w:rFonts w:ascii="Arial" w:hAnsi="Arial" w:cs="Arial"/>
                <w:color w:val="002060"/>
                <w:sz w:val="22"/>
                <w:szCs w:val="22"/>
              </w:rPr>
            </w:pPr>
            <w:r>
              <w:rPr>
                <w:rFonts w:ascii="Arial" w:hAnsi="Arial" w:cs="Arial"/>
                <w:color w:val="002060"/>
              </w:rPr>
              <w:t>September</w:t>
            </w:r>
            <w:r w:rsidR="004D12A7" w:rsidRPr="009D5AD2">
              <w:rPr>
                <w:rFonts w:ascii="Arial" w:hAnsi="Arial" w:cs="Arial"/>
                <w:color w:val="002060"/>
              </w:rPr>
              <w:t xml:space="preserve"> </w:t>
            </w:r>
            <w:r w:rsidR="004D12A7">
              <w:rPr>
                <w:rFonts w:ascii="Arial" w:hAnsi="Arial" w:cs="Arial"/>
                <w:color w:val="002060"/>
              </w:rPr>
              <w:t>202</w:t>
            </w:r>
            <w:r>
              <w:rPr>
                <w:rFonts w:ascii="Arial" w:hAnsi="Arial" w:cs="Arial"/>
                <w:color w:val="002060"/>
              </w:rPr>
              <w:t>6</w:t>
            </w:r>
          </w:p>
        </w:tc>
      </w:tr>
      <w:tr w:rsidR="004D12A7" w14:paraId="046ECDEB" w14:textId="77777777" w:rsidTr="00842D53">
        <w:trPr>
          <w:trHeight w:val="280"/>
        </w:trPr>
        <w:tc>
          <w:tcPr>
            <w:tcW w:w="3921" w:type="dxa"/>
            <w:gridSpan w:val="2"/>
            <w:tcBorders>
              <w:top w:val="single" w:sz="4" w:space="0" w:color="002060"/>
              <w:left w:val="single" w:sz="4" w:space="0" w:color="002060"/>
              <w:bottom w:val="single" w:sz="4" w:space="0" w:color="002060"/>
              <w:right w:val="single" w:sz="4" w:space="0" w:color="002060"/>
            </w:tcBorders>
            <w:hideMark/>
          </w:tcPr>
          <w:p w14:paraId="0A42BCFA" w14:textId="77777777" w:rsidR="004D12A7" w:rsidRPr="009D5AD2" w:rsidRDefault="004D12A7" w:rsidP="00842D53">
            <w:pPr>
              <w:rPr>
                <w:rFonts w:ascii="Arial" w:hAnsi="Arial" w:cs="Arial"/>
                <w:b/>
                <w:color w:val="002060"/>
                <w:sz w:val="22"/>
                <w:szCs w:val="22"/>
              </w:rPr>
            </w:pPr>
            <w:r w:rsidRPr="009D5AD2">
              <w:rPr>
                <w:rFonts w:ascii="Arial" w:hAnsi="Arial" w:cs="Arial"/>
                <w:b/>
                <w:color w:val="002060"/>
              </w:rPr>
              <w:t>Next Review Date</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3D586D88" w14:textId="2DB56B80" w:rsidR="004D12A7" w:rsidRPr="009D5AD2" w:rsidRDefault="00B601EE" w:rsidP="00842D53">
            <w:pPr>
              <w:rPr>
                <w:rFonts w:ascii="Arial" w:hAnsi="Arial" w:cs="Arial"/>
                <w:color w:val="002060"/>
              </w:rPr>
            </w:pPr>
            <w:r>
              <w:rPr>
                <w:rFonts w:ascii="Arial" w:hAnsi="Arial" w:cs="Arial"/>
                <w:color w:val="002060"/>
              </w:rPr>
              <w:t>September</w:t>
            </w:r>
            <w:r w:rsidR="004D12A7" w:rsidRPr="08917EEE">
              <w:rPr>
                <w:rFonts w:ascii="Arial" w:hAnsi="Arial" w:cs="Arial"/>
                <w:color w:val="002060"/>
              </w:rPr>
              <w:t xml:space="preserve"> 20</w:t>
            </w:r>
            <w:r>
              <w:rPr>
                <w:rFonts w:ascii="Arial" w:hAnsi="Arial" w:cs="Arial"/>
                <w:color w:val="002060"/>
              </w:rPr>
              <w:t>31</w:t>
            </w:r>
          </w:p>
        </w:tc>
      </w:tr>
      <w:tr w:rsidR="004D12A7" w14:paraId="468854A4" w14:textId="77777777" w:rsidTr="00842D53">
        <w:trPr>
          <w:trHeight w:val="581"/>
        </w:trPr>
        <w:tc>
          <w:tcPr>
            <w:tcW w:w="3921" w:type="dxa"/>
            <w:gridSpan w:val="2"/>
            <w:tcBorders>
              <w:top w:val="single" w:sz="4" w:space="0" w:color="002060"/>
              <w:left w:val="single" w:sz="4" w:space="0" w:color="002060"/>
              <w:bottom w:val="single" w:sz="4" w:space="0" w:color="002060"/>
              <w:right w:val="single" w:sz="4" w:space="0" w:color="002060"/>
            </w:tcBorders>
            <w:hideMark/>
          </w:tcPr>
          <w:p w14:paraId="29DE6187" w14:textId="77777777" w:rsidR="004D12A7" w:rsidRPr="009D5AD2" w:rsidRDefault="004D12A7" w:rsidP="00842D53">
            <w:pPr>
              <w:rPr>
                <w:rFonts w:ascii="Arial" w:hAnsi="Arial" w:cs="Arial"/>
                <w:b/>
                <w:color w:val="002060"/>
                <w:sz w:val="22"/>
                <w:szCs w:val="22"/>
              </w:rPr>
            </w:pPr>
            <w:r w:rsidRPr="009D5AD2">
              <w:rPr>
                <w:rFonts w:ascii="Arial" w:hAnsi="Arial" w:cs="Arial"/>
                <w:b/>
                <w:color w:val="002060"/>
              </w:rPr>
              <w:t>Committee</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53503183" w14:textId="77777777" w:rsidR="004D12A7" w:rsidRPr="009D5AD2" w:rsidRDefault="004D12A7" w:rsidP="00842D53">
            <w:pPr>
              <w:rPr>
                <w:rFonts w:ascii="Arial" w:hAnsi="Arial" w:cs="Arial"/>
                <w:color w:val="002060"/>
                <w:sz w:val="22"/>
                <w:szCs w:val="22"/>
              </w:rPr>
            </w:pPr>
            <w:r w:rsidRPr="009D5AD2">
              <w:rPr>
                <w:rFonts w:ascii="Arial" w:hAnsi="Arial" w:cs="Arial"/>
                <w:color w:val="002060"/>
              </w:rPr>
              <w:t>Service Delivery Sub Committee</w:t>
            </w:r>
          </w:p>
        </w:tc>
      </w:tr>
      <w:tr w:rsidR="004D12A7" w14:paraId="23ADA6CD" w14:textId="77777777" w:rsidTr="00842D53">
        <w:trPr>
          <w:trHeight w:val="280"/>
        </w:trPr>
        <w:tc>
          <w:tcPr>
            <w:tcW w:w="3921" w:type="dxa"/>
            <w:gridSpan w:val="2"/>
            <w:tcBorders>
              <w:top w:val="single" w:sz="4" w:space="0" w:color="002060"/>
              <w:left w:val="single" w:sz="4" w:space="0" w:color="002060"/>
              <w:bottom w:val="single" w:sz="4" w:space="0" w:color="002060"/>
              <w:right w:val="single" w:sz="4" w:space="0" w:color="002060"/>
            </w:tcBorders>
            <w:hideMark/>
          </w:tcPr>
          <w:p w14:paraId="7724008D" w14:textId="77777777" w:rsidR="004D12A7" w:rsidRPr="009D5AD2" w:rsidRDefault="004D12A7" w:rsidP="00842D53">
            <w:pPr>
              <w:rPr>
                <w:rFonts w:ascii="Arial" w:hAnsi="Arial" w:cs="Arial"/>
                <w:b/>
                <w:color w:val="002060"/>
                <w:sz w:val="22"/>
                <w:szCs w:val="22"/>
              </w:rPr>
            </w:pPr>
            <w:r w:rsidRPr="009D5AD2">
              <w:rPr>
                <w:rFonts w:ascii="Arial" w:hAnsi="Arial" w:cs="Arial"/>
                <w:b/>
                <w:color w:val="002060"/>
              </w:rPr>
              <w:t>Author</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3B360D6B" w14:textId="77777777" w:rsidR="004D12A7" w:rsidRPr="009D5AD2" w:rsidRDefault="004D12A7" w:rsidP="00842D53">
            <w:pPr>
              <w:rPr>
                <w:rFonts w:ascii="Arial" w:hAnsi="Arial" w:cs="Arial"/>
                <w:color w:val="002060"/>
                <w:sz w:val="22"/>
                <w:szCs w:val="22"/>
              </w:rPr>
            </w:pPr>
            <w:r w:rsidRPr="009D5AD2">
              <w:rPr>
                <w:rFonts w:ascii="Arial" w:hAnsi="Arial" w:cs="Arial"/>
                <w:color w:val="002060"/>
              </w:rPr>
              <w:t xml:space="preserve">Linlay Anderson </w:t>
            </w:r>
          </w:p>
        </w:tc>
      </w:tr>
      <w:tr w:rsidR="004D12A7" w14:paraId="4A417E43" w14:textId="77777777" w:rsidTr="00842D53">
        <w:trPr>
          <w:trHeight w:val="571"/>
        </w:trPr>
        <w:tc>
          <w:tcPr>
            <w:tcW w:w="2496" w:type="dxa"/>
            <w:tcBorders>
              <w:top w:val="single" w:sz="4" w:space="0" w:color="002060"/>
              <w:left w:val="single" w:sz="4" w:space="0" w:color="002060"/>
              <w:bottom w:val="single" w:sz="4" w:space="0" w:color="002060"/>
              <w:right w:val="single" w:sz="4" w:space="0" w:color="002060"/>
            </w:tcBorders>
            <w:hideMark/>
          </w:tcPr>
          <w:p w14:paraId="57E4D3A6" w14:textId="77777777" w:rsidR="004D12A7" w:rsidRPr="009D5AD2" w:rsidRDefault="004D12A7" w:rsidP="00842D53">
            <w:pPr>
              <w:rPr>
                <w:rFonts w:ascii="Arial" w:hAnsi="Arial" w:cs="Arial"/>
                <w:b/>
                <w:color w:val="002060"/>
                <w:sz w:val="22"/>
                <w:szCs w:val="22"/>
              </w:rPr>
            </w:pPr>
            <w:r w:rsidRPr="009D5AD2">
              <w:rPr>
                <w:rFonts w:ascii="Arial" w:hAnsi="Arial" w:cs="Arial"/>
                <w:b/>
                <w:color w:val="002060"/>
              </w:rPr>
              <w:t>Internal Policy</w:t>
            </w:r>
          </w:p>
        </w:tc>
        <w:tc>
          <w:tcPr>
            <w:tcW w:w="1424" w:type="dxa"/>
            <w:tcBorders>
              <w:top w:val="single" w:sz="4" w:space="0" w:color="002060"/>
              <w:left w:val="single" w:sz="4" w:space="0" w:color="002060"/>
              <w:bottom w:val="single" w:sz="4" w:space="0" w:color="002060"/>
              <w:right w:val="single" w:sz="4" w:space="0" w:color="002060"/>
            </w:tcBorders>
          </w:tcPr>
          <w:p w14:paraId="00986498" w14:textId="77777777" w:rsidR="004D12A7" w:rsidRPr="009D5AD2" w:rsidRDefault="004D12A7" w:rsidP="00842D53">
            <w:pPr>
              <w:rPr>
                <w:rFonts w:ascii="Arial" w:hAnsi="Arial" w:cs="Arial"/>
                <w:color w:val="002060"/>
                <w:sz w:val="22"/>
                <w:szCs w:val="22"/>
              </w:rPr>
            </w:pPr>
          </w:p>
        </w:tc>
        <w:tc>
          <w:tcPr>
            <w:tcW w:w="1900" w:type="dxa"/>
            <w:tcBorders>
              <w:top w:val="single" w:sz="4" w:space="0" w:color="002060"/>
              <w:left w:val="single" w:sz="4" w:space="0" w:color="002060"/>
              <w:bottom w:val="single" w:sz="4" w:space="0" w:color="002060"/>
              <w:right w:val="single" w:sz="4" w:space="0" w:color="002060"/>
            </w:tcBorders>
            <w:hideMark/>
          </w:tcPr>
          <w:p w14:paraId="7157D429" w14:textId="77777777" w:rsidR="004D12A7" w:rsidRPr="009D5AD2" w:rsidRDefault="004D12A7" w:rsidP="00842D53">
            <w:pPr>
              <w:rPr>
                <w:rFonts w:ascii="Arial" w:hAnsi="Arial" w:cs="Arial"/>
                <w:b/>
                <w:color w:val="002060"/>
                <w:sz w:val="22"/>
                <w:szCs w:val="22"/>
              </w:rPr>
            </w:pPr>
            <w:r w:rsidRPr="009D5AD2">
              <w:rPr>
                <w:rFonts w:ascii="Arial" w:hAnsi="Arial" w:cs="Arial"/>
                <w:b/>
                <w:color w:val="002060"/>
              </w:rPr>
              <w:t>To be published</w:t>
            </w:r>
          </w:p>
        </w:tc>
        <w:tc>
          <w:tcPr>
            <w:tcW w:w="950" w:type="dxa"/>
            <w:tcBorders>
              <w:top w:val="single" w:sz="4" w:space="0" w:color="002060"/>
              <w:left w:val="single" w:sz="4" w:space="0" w:color="002060"/>
              <w:bottom w:val="single" w:sz="4" w:space="0" w:color="002060"/>
              <w:right w:val="single" w:sz="4" w:space="0" w:color="002060"/>
            </w:tcBorders>
            <w:hideMark/>
          </w:tcPr>
          <w:p w14:paraId="51732AE5" w14:textId="77777777" w:rsidR="004D12A7" w:rsidRPr="009D5AD2" w:rsidRDefault="004D12A7" w:rsidP="00842D53">
            <w:pPr>
              <w:rPr>
                <w:rFonts w:ascii="Arial" w:hAnsi="Arial" w:cs="Arial"/>
                <w:color w:val="002060"/>
                <w:sz w:val="22"/>
                <w:szCs w:val="22"/>
              </w:rPr>
            </w:pPr>
            <w:r w:rsidRPr="009D5AD2">
              <w:rPr>
                <w:rFonts w:ascii="Arial" w:hAnsi="Arial" w:cs="Arial"/>
                <w:color w:val="002060"/>
              </w:rPr>
              <w:t>X</w:t>
            </w:r>
          </w:p>
        </w:tc>
      </w:tr>
    </w:tbl>
    <w:p w14:paraId="4D95BFD5" w14:textId="77777777" w:rsidR="004D12A7" w:rsidRDefault="004D12A7" w:rsidP="004D12A7">
      <w:pPr>
        <w:pStyle w:val="BodyText3"/>
        <w:rPr>
          <w:rFonts w:ascii="Comic Sans MS" w:hAnsi="Comic Sans MS"/>
        </w:rPr>
      </w:pPr>
      <w:r w:rsidRPr="00E907E6">
        <w:rPr>
          <w:rFonts w:ascii="Comic Sans MS" w:hAnsi="Comic Sans MS"/>
        </w:rPr>
        <w:t xml:space="preserve"> </w:t>
      </w:r>
      <w:r>
        <w:rPr>
          <w:rFonts w:ascii="Comic Sans MS" w:hAnsi="Comic Sans MS"/>
        </w:rPr>
        <w:t xml:space="preserve">          </w:t>
      </w:r>
      <w:r w:rsidRPr="00814EC4">
        <w:rPr>
          <w:rFonts w:ascii="Comic Sans MS" w:hAnsi="Comic Sans MS"/>
        </w:rPr>
        <w:t xml:space="preserve"> </w:t>
      </w:r>
    </w:p>
    <w:p w14:paraId="04ED3303" w14:textId="77777777" w:rsidR="004D12A7" w:rsidRDefault="004D12A7" w:rsidP="004D12A7">
      <w:pPr>
        <w:pStyle w:val="WPNormal"/>
        <w:jc w:val="center"/>
        <w:rPr>
          <w:rFonts w:ascii="Arial" w:hAnsi="Arial" w:cs="Arial"/>
          <w:color w:val="002060"/>
        </w:rPr>
      </w:pPr>
    </w:p>
    <w:p w14:paraId="1ACAAB65" w14:textId="77777777" w:rsidR="004D12A7" w:rsidRDefault="004D12A7" w:rsidP="004D12A7">
      <w:pPr>
        <w:pStyle w:val="WPNormal"/>
        <w:jc w:val="center"/>
        <w:rPr>
          <w:rFonts w:ascii="Arial" w:hAnsi="Arial" w:cs="Arial"/>
          <w:color w:val="002060"/>
        </w:rPr>
      </w:pPr>
    </w:p>
    <w:p w14:paraId="6C1E0919" w14:textId="77777777" w:rsidR="004D12A7" w:rsidRDefault="004D12A7" w:rsidP="004D12A7">
      <w:pPr>
        <w:pStyle w:val="WPNormal"/>
        <w:jc w:val="center"/>
        <w:rPr>
          <w:rFonts w:ascii="Arial" w:hAnsi="Arial" w:cs="Arial"/>
          <w:color w:val="002060"/>
        </w:rPr>
      </w:pPr>
    </w:p>
    <w:p w14:paraId="574FE1E4" w14:textId="77777777" w:rsidR="004D12A7" w:rsidRDefault="004D12A7" w:rsidP="004D12A7">
      <w:pPr>
        <w:pStyle w:val="WPNormal"/>
        <w:jc w:val="center"/>
        <w:rPr>
          <w:rFonts w:ascii="Arial" w:hAnsi="Arial" w:cs="Arial"/>
          <w:color w:val="002060"/>
        </w:rPr>
      </w:pPr>
    </w:p>
    <w:p w14:paraId="2E99D18E" w14:textId="77777777" w:rsidR="004D12A7" w:rsidRDefault="004D12A7" w:rsidP="004D12A7">
      <w:pPr>
        <w:pStyle w:val="WPNormal"/>
        <w:jc w:val="center"/>
        <w:rPr>
          <w:rFonts w:ascii="Arial" w:hAnsi="Arial" w:cs="Arial"/>
          <w:color w:val="002060"/>
        </w:rPr>
      </w:pPr>
    </w:p>
    <w:p w14:paraId="5E08F360" w14:textId="77777777" w:rsidR="004D12A7" w:rsidRDefault="004D12A7" w:rsidP="004D12A7">
      <w:pPr>
        <w:pStyle w:val="WPNormal"/>
        <w:jc w:val="center"/>
        <w:rPr>
          <w:rFonts w:ascii="Arial" w:hAnsi="Arial" w:cs="Arial"/>
          <w:color w:val="002060"/>
        </w:rPr>
      </w:pPr>
    </w:p>
    <w:p w14:paraId="186D8BF5" w14:textId="77777777" w:rsidR="004D12A7" w:rsidRDefault="004D12A7" w:rsidP="004D12A7">
      <w:pPr>
        <w:pStyle w:val="WPNormal"/>
        <w:jc w:val="center"/>
        <w:rPr>
          <w:rFonts w:ascii="Arial" w:hAnsi="Arial" w:cs="Arial"/>
          <w:color w:val="002060"/>
        </w:rPr>
      </w:pPr>
    </w:p>
    <w:p w14:paraId="3D9F06ED" w14:textId="77777777" w:rsidR="004D12A7" w:rsidRDefault="004D12A7" w:rsidP="004D12A7">
      <w:pPr>
        <w:pStyle w:val="WPNormal"/>
        <w:jc w:val="center"/>
        <w:rPr>
          <w:rFonts w:ascii="Arial" w:hAnsi="Arial" w:cs="Arial"/>
          <w:color w:val="002060"/>
        </w:rPr>
      </w:pPr>
    </w:p>
    <w:p w14:paraId="18D99288" w14:textId="77777777" w:rsidR="004D12A7" w:rsidRDefault="004D12A7" w:rsidP="004D12A7">
      <w:pPr>
        <w:pStyle w:val="WPNormal"/>
        <w:jc w:val="center"/>
        <w:rPr>
          <w:rFonts w:ascii="Arial" w:hAnsi="Arial" w:cs="Arial"/>
          <w:color w:val="002060"/>
        </w:rPr>
      </w:pPr>
    </w:p>
    <w:p w14:paraId="6DD73C7A" w14:textId="77777777" w:rsidR="004D12A7" w:rsidRDefault="004D12A7" w:rsidP="004D12A7">
      <w:pPr>
        <w:pStyle w:val="WPNormal"/>
        <w:jc w:val="center"/>
        <w:rPr>
          <w:rFonts w:ascii="Arial" w:hAnsi="Arial" w:cs="Arial"/>
          <w:color w:val="002060"/>
        </w:rPr>
      </w:pPr>
    </w:p>
    <w:p w14:paraId="27AE71D5" w14:textId="77777777" w:rsidR="00B1582F" w:rsidRDefault="00B1582F" w:rsidP="004D12A7">
      <w:pPr>
        <w:pStyle w:val="WPNormal"/>
        <w:jc w:val="center"/>
        <w:rPr>
          <w:rFonts w:ascii="Arial" w:hAnsi="Arial" w:cs="Arial"/>
          <w:color w:val="002060"/>
        </w:rPr>
      </w:pPr>
    </w:p>
    <w:p w14:paraId="7E646CFC" w14:textId="77777777" w:rsidR="00A93E19" w:rsidRDefault="00A93E19" w:rsidP="00D37CEA">
      <w:pPr>
        <w:pStyle w:val="WPNormal"/>
        <w:rPr>
          <w:rFonts w:ascii="Arial" w:hAnsi="Arial" w:cs="Arial"/>
        </w:rPr>
      </w:pPr>
    </w:p>
    <w:p w14:paraId="00CC0936" w14:textId="226E2344" w:rsidR="004D12A7" w:rsidRPr="00457A1A" w:rsidRDefault="004D12A7" w:rsidP="00D37CEA">
      <w:pPr>
        <w:pStyle w:val="WPNormal"/>
        <w:jc w:val="center"/>
        <w:rPr>
          <w:rFonts w:ascii="Arial" w:hAnsi="Arial" w:cs="Arial"/>
          <w:color w:val="002060"/>
        </w:rPr>
      </w:pPr>
      <w:r w:rsidRPr="00457A1A">
        <w:rPr>
          <w:rFonts w:ascii="Arial" w:hAnsi="Arial" w:cs="Arial"/>
        </w:rPr>
        <w:lastRenderedPageBreak/>
        <w:t>Angus Housing Association Limited Registered Charity Number SC020981</w:t>
      </w:r>
    </w:p>
    <w:p w14:paraId="2EA5CDD8" w14:textId="77777777" w:rsidR="00A32A05" w:rsidRDefault="00A32A05" w:rsidP="00A32A05">
      <w:pPr>
        <w:pStyle w:val="Default"/>
        <w:spacing w:line="360" w:lineRule="auto"/>
        <w:jc w:val="center"/>
        <w:rPr>
          <w:b/>
          <w:bCs/>
          <w:u w:val="single"/>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3402"/>
      </w:tblGrid>
      <w:tr w:rsidR="00A32A05" w:rsidRPr="00A32A05" w14:paraId="7EA3C67D" w14:textId="77777777" w:rsidTr="00842D53">
        <w:tc>
          <w:tcPr>
            <w:tcW w:w="5778" w:type="dxa"/>
            <w:tcBorders>
              <w:top w:val="single" w:sz="4" w:space="0" w:color="auto"/>
              <w:left w:val="single" w:sz="4" w:space="0" w:color="auto"/>
              <w:right w:val="single" w:sz="4" w:space="0" w:color="auto"/>
            </w:tcBorders>
          </w:tcPr>
          <w:p w14:paraId="5D375FD4" w14:textId="77777777" w:rsidR="00B1582F" w:rsidRDefault="00B1582F" w:rsidP="00B1582F">
            <w:pPr>
              <w:pStyle w:val="Heading2"/>
              <w:rPr>
                <w:rFonts w:ascii="Arial" w:hAnsi="Arial"/>
                <w:color w:val="auto"/>
                <w:sz w:val="24"/>
              </w:rPr>
            </w:pPr>
          </w:p>
          <w:p w14:paraId="2C2937B3" w14:textId="1D2681A5" w:rsidR="00A32A05" w:rsidRPr="000152E8" w:rsidRDefault="00A32A05" w:rsidP="000152E8">
            <w:pPr>
              <w:pStyle w:val="Heading2"/>
              <w:jc w:val="center"/>
              <w:rPr>
                <w:rFonts w:ascii="Arial" w:hAnsi="Arial"/>
                <w:b/>
                <w:bCs/>
                <w:color w:val="auto"/>
                <w:sz w:val="24"/>
              </w:rPr>
            </w:pPr>
            <w:r w:rsidRPr="000152E8">
              <w:rPr>
                <w:rFonts w:ascii="Arial" w:hAnsi="Arial"/>
                <w:b/>
                <w:bCs/>
                <w:color w:val="auto"/>
                <w:sz w:val="24"/>
              </w:rPr>
              <w:t>Charter Outcomes</w:t>
            </w:r>
          </w:p>
        </w:tc>
        <w:tc>
          <w:tcPr>
            <w:tcW w:w="3402" w:type="dxa"/>
            <w:tcBorders>
              <w:top w:val="single" w:sz="4" w:space="0" w:color="auto"/>
              <w:left w:val="single" w:sz="4" w:space="0" w:color="auto"/>
              <w:right w:val="single" w:sz="4" w:space="0" w:color="auto"/>
            </w:tcBorders>
          </w:tcPr>
          <w:p w14:paraId="444AA4DF" w14:textId="77777777" w:rsidR="00A32A05" w:rsidRPr="000152E8" w:rsidRDefault="00A32A05" w:rsidP="000152E8">
            <w:pPr>
              <w:pStyle w:val="Heading1"/>
              <w:jc w:val="center"/>
              <w:rPr>
                <w:rFonts w:ascii="Arial" w:hAnsi="Arial"/>
                <w:b/>
                <w:bCs/>
                <w:color w:val="auto"/>
                <w:sz w:val="24"/>
              </w:rPr>
            </w:pPr>
            <w:r w:rsidRPr="000152E8">
              <w:rPr>
                <w:rFonts w:ascii="Arial" w:hAnsi="Arial"/>
                <w:b/>
                <w:bCs/>
                <w:color w:val="auto"/>
                <w:sz w:val="24"/>
              </w:rPr>
              <w:t>Number(s)</w:t>
            </w:r>
          </w:p>
        </w:tc>
      </w:tr>
      <w:tr w:rsidR="00A32A05" w:rsidRPr="00A32A05" w14:paraId="542C80D7" w14:textId="77777777" w:rsidTr="00842D53">
        <w:tc>
          <w:tcPr>
            <w:tcW w:w="5778" w:type="dxa"/>
            <w:tcBorders>
              <w:left w:val="single" w:sz="4" w:space="0" w:color="auto"/>
            </w:tcBorders>
          </w:tcPr>
          <w:p w14:paraId="6C02B48D" w14:textId="77777777" w:rsidR="00A32A05" w:rsidRPr="00A32A05" w:rsidRDefault="00A32A05" w:rsidP="00842D53">
            <w:pPr>
              <w:pStyle w:val="Heading2"/>
              <w:rPr>
                <w:rFonts w:ascii="Arial" w:hAnsi="Arial"/>
                <w:color w:val="auto"/>
                <w:sz w:val="24"/>
              </w:rPr>
            </w:pPr>
            <w:r w:rsidRPr="00A32A05">
              <w:rPr>
                <w:rFonts w:ascii="Arial" w:hAnsi="Arial"/>
                <w:color w:val="auto"/>
                <w:sz w:val="24"/>
              </w:rPr>
              <w:t xml:space="preserve">     The Customer/landlord relationship</w:t>
            </w:r>
          </w:p>
        </w:tc>
        <w:tc>
          <w:tcPr>
            <w:tcW w:w="3402" w:type="dxa"/>
            <w:tcBorders>
              <w:right w:val="single" w:sz="4" w:space="0" w:color="auto"/>
            </w:tcBorders>
          </w:tcPr>
          <w:p w14:paraId="3ED56AE7" w14:textId="0F48D607" w:rsidR="00A32A05" w:rsidRPr="00A32A05" w:rsidRDefault="00A32A05" w:rsidP="00A32A05">
            <w:pPr>
              <w:numPr>
                <w:ilvl w:val="0"/>
                <w:numId w:val="13"/>
              </w:numPr>
              <w:spacing w:after="0" w:line="240" w:lineRule="auto"/>
              <w:rPr>
                <w:rFonts w:ascii="Arial" w:hAnsi="Arial"/>
              </w:rPr>
            </w:pPr>
            <w:r w:rsidRPr="00A32A05">
              <w:rPr>
                <w:rFonts w:ascii="Arial" w:hAnsi="Arial"/>
              </w:rPr>
              <w:t>Equalities</w:t>
            </w:r>
          </w:p>
          <w:p w14:paraId="1C72E621" w14:textId="77777777" w:rsidR="00A32A05" w:rsidRPr="00A32A05" w:rsidRDefault="00A32A05" w:rsidP="00A32A05">
            <w:pPr>
              <w:numPr>
                <w:ilvl w:val="0"/>
                <w:numId w:val="13"/>
              </w:numPr>
              <w:spacing w:after="0" w:line="240" w:lineRule="auto"/>
              <w:rPr>
                <w:rFonts w:ascii="Arial" w:hAnsi="Arial"/>
              </w:rPr>
            </w:pPr>
            <w:r w:rsidRPr="00A32A05">
              <w:rPr>
                <w:rFonts w:ascii="Arial" w:hAnsi="Arial"/>
              </w:rPr>
              <w:t>Communication</w:t>
            </w:r>
          </w:p>
          <w:p w14:paraId="7EF33B07" w14:textId="77777777" w:rsidR="00A32A05" w:rsidRPr="00A32A05" w:rsidRDefault="00A32A05" w:rsidP="00A32A05">
            <w:pPr>
              <w:ind w:left="1440"/>
              <w:rPr>
                <w:rFonts w:ascii="Arial" w:hAnsi="Arial"/>
              </w:rPr>
            </w:pPr>
          </w:p>
        </w:tc>
      </w:tr>
    </w:tbl>
    <w:p w14:paraId="1D55B947" w14:textId="77777777" w:rsidR="00A32A05" w:rsidRPr="00A32A05" w:rsidRDefault="00A32A05" w:rsidP="00A32A05">
      <w:pPr>
        <w:pStyle w:val="WPNormal"/>
        <w:rPr>
          <w:rFonts w:ascii="Arial" w:hAnsi="Arial"/>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3402"/>
      </w:tblGrid>
      <w:tr w:rsidR="00A32A05" w:rsidRPr="00A32A05" w14:paraId="00DA9B50" w14:textId="77777777" w:rsidTr="00842D53">
        <w:tc>
          <w:tcPr>
            <w:tcW w:w="5778" w:type="dxa"/>
            <w:tcBorders>
              <w:bottom w:val="single" w:sz="4" w:space="0" w:color="auto"/>
            </w:tcBorders>
          </w:tcPr>
          <w:p w14:paraId="7CB19602" w14:textId="77777777" w:rsidR="00A32A05" w:rsidRPr="00A32A05" w:rsidRDefault="00A32A05" w:rsidP="00842D53">
            <w:pPr>
              <w:pStyle w:val="Heading2"/>
              <w:rPr>
                <w:rFonts w:ascii="Arial" w:hAnsi="Arial"/>
                <w:color w:val="auto"/>
                <w:sz w:val="24"/>
              </w:rPr>
            </w:pPr>
            <w:r w:rsidRPr="00A32A05">
              <w:rPr>
                <w:rFonts w:ascii="Arial" w:hAnsi="Arial"/>
                <w:color w:val="auto"/>
                <w:sz w:val="24"/>
              </w:rPr>
              <w:t>Written By</w:t>
            </w:r>
          </w:p>
          <w:p w14:paraId="43D4B3ED" w14:textId="77777777" w:rsidR="00A32A05" w:rsidRPr="00A32A05" w:rsidRDefault="00A32A05" w:rsidP="00842D53">
            <w:pPr>
              <w:pStyle w:val="Heading2"/>
              <w:rPr>
                <w:rFonts w:ascii="Arial" w:hAnsi="Arial"/>
                <w:color w:val="auto"/>
                <w:sz w:val="24"/>
              </w:rPr>
            </w:pPr>
          </w:p>
        </w:tc>
        <w:tc>
          <w:tcPr>
            <w:tcW w:w="3402" w:type="dxa"/>
            <w:tcBorders>
              <w:bottom w:val="single" w:sz="4" w:space="0" w:color="auto"/>
            </w:tcBorders>
          </w:tcPr>
          <w:p w14:paraId="520765D6" w14:textId="77777777" w:rsidR="00A32A05" w:rsidRPr="00A32A05" w:rsidRDefault="00A32A05" w:rsidP="00842D53">
            <w:pPr>
              <w:rPr>
                <w:rFonts w:ascii="Arial" w:hAnsi="Arial"/>
              </w:rPr>
            </w:pPr>
            <w:r w:rsidRPr="00A32A05">
              <w:rPr>
                <w:rFonts w:ascii="Arial" w:hAnsi="Arial"/>
              </w:rPr>
              <w:t>Linlay Anderson</w:t>
            </w:r>
          </w:p>
        </w:tc>
      </w:tr>
      <w:tr w:rsidR="00A32A05" w:rsidRPr="00A32A05" w14:paraId="2DF79649" w14:textId="77777777" w:rsidTr="00842D53">
        <w:tc>
          <w:tcPr>
            <w:tcW w:w="5778" w:type="dxa"/>
            <w:tcBorders>
              <w:bottom w:val="single" w:sz="4" w:space="0" w:color="auto"/>
            </w:tcBorders>
          </w:tcPr>
          <w:p w14:paraId="5D84F3FF" w14:textId="77777777" w:rsidR="00A32A05" w:rsidRPr="00A32A05" w:rsidRDefault="00A32A05" w:rsidP="00842D53">
            <w:pPr>
              <w:pStyle w:val="Heading2"/>
              <w:rPr>
                <w:rFonts w:ascii="Arial" w:hAnsi="Arial"/>
                <w:color w:val="auto"/>
                <w:sz w:val="24"/>
              </w:rPr>
            </w:pPr>
            <w:r w:rsidRPr="00A32A05">
              <w:rPr>
                <w:rFonts w:ascii="Arial" w:hAnsi="Arial"/>
                <w:color w:val="auto"/>
                <w:sz w:val="24"/>
              </w:rPr>
              <w:t>Department</w:t>
            </w:r>
          </w:p>
          <w:p w14:paraId="509176B9" w14:textId="77777777" w:rsidR="00A32A05" w:rsidRPr="00A32A05" w:rsidRDefault="00A32A05" w:rsidP="00842D53">
            <w:pPr>
              <w:pStyle w:val="Heading2"/>
              <w:rPr>
                <w:rFonts w:ascii="Arial" w:hAnsi="Arial"/>
                <w:color w:val="auto"/>
                <w:sz w:val="24"/>
              </w:rPr>
            </w:pPr>
          </w:p>
        </w:tc>
        <w:tc>
          <w:tcPr>
            <w:tcW w:w="3402" w:type="dxa"/>
            <w:tcBorders>
              <w:bottom w:val="single" w:sz="4" w:space="0" w:color="auto"/>
            </w:tcBorders>
          </w:tcPr>
          <w:p w14:paraId="77846A86" w14:textId="77777777" w:rsidR="00A32A05" w:rsidRPr="00A32A05" w:rsidRDefault="00A32A05" w:rsidP="00842D53">
            <w:pPr>
              <w:rPr>
                <w:rFonts w:ascii="Arial" w:hAnsi="Arial"/>
              </w:rPr>
            </w:pPr>
            <w:r w:rsidRPr="00A32A05">
              <w:rPr>
                <w:rFonts w:ascii="Arial" w:hAnsi="Arial"/>
              </w:rPr>
              <w:t>Housing Management</w:t>
            </w:r>
          </w:p>
        </w:tc>
      </w:tr>
    </w:tbl>
    <w:p w14:paraId="420C6F11" w14:textId="77777777" w:rsidR="00A32A05" w:rsidRPr="00A32A05" w:rsidRDefault="00A32A05" w:rsidP="00A32A05">
      <w:pPr>
        <w:pStyle w:val="WPNormal"/>
        <w:rPr>
          <w:rFonts w:ascii="Arial" w:hAnsi="Arial"/>
        </w:rPr>
      </w:pPr>
    </w:p>
    <w:tbl>
      <w:tblPr>
        <w:tblW w:w="9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3458"/>
      </w:tblGrid>
      <w:tr w:rsidR="00A32A05" w:rsidRPr="00A32A05" w14:paraId="3EC2A5FD" w14:textId="77777777" w:rsidTr="00842D53">
        <w:tc>
          <w:tcPr>
            <w:tcW w:w="5778" w:type="dxa"/>
          </w:tcPr>
          <w:p w14:paraId="720DA648" w14:textId="77777777" w:rsidR="00A32A05" w:rsidRPr="00A32A05" w:rsidRDefault="00A32A05" w:rsidP="00842D53">
            <w:pPr>
              <w:pStyle w:val="Heading2"/>
              <w:rPr>
                <w:rFonts w:ascii="Arial" w:hAnsi="Arial"/>
                <w:color w:val="auto"/>
                <w:sz w:val="24"/>
              </w:rPr>
            </w:pPr>
            <w:r w:rsidRPr="00A32A05">
              <w:rPr>
                <w:rFonts w:ascii="Arial" w:hAnsi="Arial"/>
                <w:color w:val="auto"/>
                <w:sz w:val="24"/>
              </w:rPr>
              <w:t>Approval Date by Committee</w:t>
            </w:r>
          </w:p>
          <w:p w14:paraId="10B10076" w14:textId="77777777" w:rsidR="00A32A05" w:rsidRPr="00A32A05" w:rsidRDefault="00A32A05" w:rsidP="00842D53">
            <w:pPr>
              <w:rPr>
                <w:rFonts w:ascii="Arial" w:hAnsi="Arial"/>
              </w:rPr>
            </w:pPr>
          </w:p>
        </w:tc>
        <w:tc>
          <w:tcPr>
            <w:tcW w:w="3458" w:type="dxa"/>
          </w:tcPr>
          <w:p w14:paraId="28A09436" w14:textId="77777777" w:rsidR="00A32A05" w:rsidRDefault="00A32A05" w:rsidP="00842D53">
            <w:pPr>
              <w:rPr>
                <w:rFonts w:ascii="Arial" w:hAnsi="Arial"/>
              </w:rPr>
            </w:pPr>
          </w:p>
          <w:p w14:paraId="716B5C59" w14:textId="33AE1246" w:rsidR="009C44D2" w:rsidRPr="00A32A05" w:rsidRDefault="009C44D2" w:rsidP="00842D53">
            <w:pPr>
              <w:rPr>
                <w:rFonts w:ascii="Arial" w:hAnsi="Arial"/>
              </w:rPr>
            </w:pPr>
            <w:r>
              <w:rPr>
                <w:rFonts w:ascii="Arial" w:hAnsi="Arial"/>
              </w:rPr>
              <w:t>2 September 2026</w:t>
            </w:r>
          </w:p>
        </w:tc>
      </w:tr>
    </w:tbl>
    <w:p w14:paraId="4C66A4DD" w14:textId="77777777" w:rsidR="00A32A05" w:rsidRPr="002052B3" w:rsidRDefault="00A32A05" w:rsidP="00A32A05">
      <w:pPr>
        <w:rPr>
          <w:rFonts w:ascii="Arial" w:hAnsi="Arial"/>
          <w:b/>
          <w:sz w:val="22"/>
          <w:szCs w:val="22"/>
        </w:rPr>
      </w:pPr>
    </w:p>
    <w:tbl>
      <w:tblPr>
        <w:tblW w:w="9224"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24"/>
      </w:tblGrid>
      <w:tr w:rsidR="00A32A05" w:rsidRPr="002052B3" w14:paraId="62A1F8F3" w14:textId="77777777" w:rsidTr="001E326A">
        <w:trPr>
          <w:trHeight w:val="1960"/>
        </w:trPr>
        <w:tc>
          <w:tcPr>
            <w:tcW w:w="922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C11E4F2" w14:textId="77777777" w:rsidR="001E326A" w:rsidRDefault="001E326A">
            <w:pPr>
              <w:rPr>
                <w:lang w:eastAsia="en-GB"/>
              </w:rPr>
            </w:pPr>
            <w:r>
              <w:rPr>
                <w:rFonts w:ascii="Arial" w:hAnsi="Arial" w:cs="Arial"/>
                <w:b/>
                <w:bCs/>
                <w:sz w:val="22"/>
                <w:szCs w:val="22"/>
              </w:rPr>
              <w:t>Notes:</w:t>
            </w:r>
          </w:p>
          <w:p w14:paraId="6588EBD5" w14:textId="3531D886" w:rsidR="001E326A" w:rsidRDefault="001E326A">
            <w:pPr>
              <w:spacing w:after="0"/>
            </w:pPr>
            <w:r>
              <w:t>Policy drawn up with reference to</w:t>
            </w:r>
            <w:r w:rsidR="0038416A">
              <w:t xml:space="preserve"> </w:t>
            </w:r>
            <w:r>
              <w:t>–</w:t>
            </w:r>
          </w:p>
          <w:p w14:paraId="50CC3500" w14:textId="77777777" w:rsidR="001E326A" w:rsidRDefault="001E326A">
            <w:pPr>
              <w:spacing w:after="0"/>
            </w:pPr>
            <w:r>
              <w:t>Adult Support and Protection (Scotland) Act 2007</w:t>
            </w:r>
          </w:p>
          <w:p w14:paraId="451A2D0C" w14:textId="77777777" w:rsidR="001E326A" w:rsidRDefault="001E326A">
            <w:pPr>
              <w:spacing w:after="0"/>
            </w:pPr>
            <w:r>
              <w:t>Adults with Incapacity (Scotland) Act 2000</w:t>
            </w:r>
          </w:p>
          <w:p w14:paraId="183EFC5B" w14:textId="77777777" w:rsidR="001E326A" w:rsidRDefault="001E326A">
            <w:pPr>
              <w:spacing w:after="0"/>
            </w:pPr>
            <w:r>
              <w:t>Mental Health (Care and Treatment) (Scotland) Act 2003</w:t>
            </w:r>
          </w:p>
          <w:p w14:paraId="10147164" w14:textId="3F528439" w:rsidR="006C061B" w:rsidRDefault="001E326A">
            <w:pPr>
              <w:spacing w:after="0"/>
            </w:pPr>
            <w:r>
              <w:t>Protection of Vulnerable Groups (Scotland) Act 2007</w:t>
            </w:r>
          </w:p>
          <w:p w14:paraId="694CDB12" w14:textId="77777777" w:rsidR="001E326A" w:rsidRDefault="001E326A">
            <w:pPr>
              <w:spacing w:after="0"/>
            </w:pPr>
            <w:r>
              <w:t>Disclosure (Scotland) Act 2020</w:t>
            </w:r>
          </w:p>
          <w:p w14:paraId="447D27E4" w14:textId="77777777" w:rsidR="001E326A" w:rsidRDefault="001E326A">
            <w:pPr>
              <w:spacing w:after="0"/>
            </w:pPr>
            <w:r>
              <w:t>Domestic Abuse (Scotland) Act 2018</w:t>
            </w:r>
          </w:p>
          <w:p w14:paraId="10703451" w14:textId="77777777" w:rsidR="001E326A" w:rsidRDefault="001E326A">
            <w:pPr>
              <w:spacing w:after="0"/>
            </w:pPr>
            <w:r>
              <w:t>Human Trafficking and Exploitation (Scotland) Act 2015</w:t>
            </w:r>
          </w:p>
          <w:p w14:paraId="3B93BCC6" w14:textId="77777777" w:rsidR="001E326A" w:rsidRDefault="001E326A">
            <w:pPr>
              <w:spacing w:after="0"/>
            </w:pPr>
            <w:r>
              <w:t>Carers (Scotland) Act 2016</w:t>
            </w:r>
          </w:p>
          <w:p w14:paraId="2DBDDE5C" w14:textId="77777777" w:rsidR="001E326A" w:rsidRDefault="001E326A">
            <w:pPr>
              <w:spacing w:after="0"/>
            </w:pPr>
            <w:r>
              <w:t>Equality Act 2010</w:t>
            </w:r>
          </w:p>
          <w:p w14:paraId="68082E82" w14:textId="77777777" w:rsidR="001E326A" w:rsidRDefault="001E326A">
            <w:pPr>
              <w:spacing w:after="0"/>
            </w:pPr>
            <w:r>
              <w:t>Human Rights Act 1998</w:t>
            </w:r>
          </w:p>
          <w:p w14:paraId="1CED2F2F" w14:textId="77777777" w:rsidR="001E326A" w:rsidRDefault="001E326A">
            <w:pPr>
              <w:spacing w:after="0"/>
            </w:pPr>
            <w:r>
              <w:t>Data Protection Act 2018 (UK GDPR)</w:t>
            </w:r>
          </w:p>
          <w:p w14:paraId="1DC9D2A0" w14:textId="5237DE83" w:rsidR="00A32A05" w:rsidRPr="00A32A05" w:rsidRDefault="001E326A" w:rsidP="001E326A">
            <w:pPr>
              <w:rPr>
                <w:rFonts w:ascii="Arial" w:eastAsiaTheme="minorEastAsia" w:hAnsi="Arial" w:cs="Arial"/>
                <w:b/>
                <w:bCs/>
                <w:sz w:val="22"/>
                <w:szCs w:val="22"/>
              </w:rPr>
            </w:pPr>
            <w:r>
              <w:rPr>
                <w:rFonts w:ascii="Arial" w:hAnsi="Arial" w:cs="Arial"/>
                <w:b/>
                <w:bCs/>
                <w:sz w:val="22"/>
                <w:szCs w:val="22"/>
              </w:rPr>
              <w:t> </w:t>
            </w:r>
          </w:p>
        </w:tc>
      </w:tr>
    </w:tbl>
    <w:p w14:paraId="12A34F41" w14:textId="77777777" w:rsidR="00F6615B" w:rsidRDefault="00F6615B" w:rsidP="00F6615B">
      <w:pPr>
        <w:spacing w:line="360" w:lineRule="auto"/>
        <w:rPr>
          <w:rFonts w:ascii="Arial" w:hAnsi="Arial" w:cs="Arial"/>
          <w:b/>
          <w:bCs/>
        </w:rPr>
      </w:pPr>
    </w:p>
    <w:p w14:paraId="6DA2DFD7" w14:textId="77777777" w:rsidR="00F6615B" w:rsidRDefault="00F6615B" w:rsidP="00F6615B">
      <w:pPr>
        <w:spacing w:line="360" w:lineRule="auto"/>
        <w:rPr>
          <w:rFonts w:ascii="Arial" w:hAnsi="Arial" w:cs="Arial"/>
          <w:b/>
          <w:bCs/>
        </w:rPr>
      </w:pPr>
    </w:p>
    <w:p w14:paraId="336915DB" w14:textId="77777777" w:rsidR="00E9687C" w:rsidRDefault="00E9687C" w:rsidP="00F6615B">
      <w:pPr>
        <w:spacing w:line="360" w:lineRule="auto"/>
        <w:jc w:val="center"/>
        <w:rPr>
          <w:rFonts w:ascii="Arial" w:hAnsi="Arial" w:cs="Arial"/>
          <w:b/>
          <w:bCs/>
        </w:rPr>
      </w:pPr>
    </w:p>
    <w:p w14:paraId="3D34CC8D" w14:textId="06CE4CE8" w:rsidR="00FC0C1C" w:rsidRPr="00E26BD7" w:rsidRDefault="00FC0C1C" w:rsidP="00F6615B">
      <w:pPr>
        <w:spacing w:line="360" w:lineRule="auto"/>
        <w:jc w:val="center"/>
        <w:rPr>
          <w:rFonts w:ascii="Arial" w:hAnsi="Arial" w:cs="Arial"/>
          <w:b/>
          <w:bCs/>
        </w:rPr>
      </w:pPr>
      <w:r w:rsidRPr="00E26BD7">
        <w:rPr>
          <w:rFonts w:ascii="Arial" w:hAnsi="Arial" w:cs="Arial"/>
          <w:b/>
          <w:bCs/>
        </w:rPr>
        <w:lastRenderedPageBreak/>
        <w:t>Angus Housing Association</w:t>
      </w:r>
    </w:p>
    <w:p w14:paraId="2D98048E" w14:textId="772D5969" w:rsidR="00FC0C1C" w:rsidRPr="00E26BD7" w:rsidRDefault="00FC0C1C" w:rsidP="00FC0C1C">
      <w:pPr>
        <w:spacing w:line="360" w:lineRule="auto"/>
        <w:jc w:val="center"/>
        <w:rPr>
          <w:rFonts w:ascii="Arial" w:hAnsi="Arial" w:cs="Arial"/>
          <w:b/>
          <w:bCs/>
        </w:rPr>
      </w:pPr>
      <w:r>
        <w:rPr>
          <w:rFonts w:ascii="Arial" w:hAnsi="Arial" w:cs="Arial"/>
          <w:b/>
          <w:bCs/>
        </w:rPr>
        <w:t>Adult</w:t>
      </w:r>
      <w:r w:rsidRPr="00E26BD7">
        <w:rPr>
          <w:rFonts w:ascii="Arial" w:hAnsi="Arial" w:cs="Arial"/>
          <w:b/>
          <w:bCs/>
        </w:rPr>
        <w:t xml:space="preserve"> Safeguarding &amp; Protection Policy</w:t>
      </w:r>
    </w:p>
    <w:p w14:paraId="1E9BFD5F" w14:textId="73BBDD4D" w:rsidR="00053BC3" w:rsidRPr="00FC0C1C" w:rsidRDefault="00053BC3">
      <w:pPr>
        <w:pStyle w:val="Heading1"/>
        <w:rPr>
          <w:b/>
          <w:bCs/>
          <w:color w:val="auto"/>
          <w:sz w:val="24"/>
          <w:szCs w:val="24"/>
          <w:lang w:eastAsia="en-GB"/>
        </w:rPr>
      </w:pPr>
      <w:r w:rsidRPr="00FC0C1C">
        <w:rPr>
          <w:b/>
          <w:bCs/>
          <w:color w:val="auto"/>
          <w:sz w:val="24"/>
          <w:szCs w:val="24"/>
        </w:rPr>
        <w:t>1. Policy statement</w:t>
      </w:r>
    </w:p>
    <w:p w14:paraId="7469D53A" w14:textId="53B81CA9" w:rsidR="00053BC3" w:rsidRPr="008D732F" w:rsidRDefault="7E232F2A" w:rsidP="00053BC3">
      <w:r>
        <w:t xml:space="preserve">The aim of this policy is to make </w:t>
      </w:r>
      <w:r w:rsidRPr="00AC433E">
        <w:t>all Angus Housing Association staff</w:t>
      </w:r>
      <w:r>
        <w:t xml:space="preserve"> aware of their responsibilities for adult support and protection and adult safeguarding, and to provide a clear framework for recognising, </w:t>
      </w:r>
      <w:r w:rsidR="6DC10127">
        <w:t>recording,</w:t>
      </w:r>
      <w:r>
        <w:t xml:space="preserve"> and reporting concerns about adults who may be at risk of harm.</w:t>
      </w:r>
    </w:p>
    <w:p w14:paraId="7D1D100D" w14:textId="4782F77B" w:rsidR="00053BC3" w:rsidRDefault="7E232F2A" w:rsidP="00053BC3">
      <w:r>
        <w:t xml:space="preserve">This policy is informed by the Adult Support and Protection (Scotland) Act 2007 and Scottish Government guidance on adult support and protection. It recognises that tenants and other service users may experience harm in a range of settings and circumstances, and that Angus Housing Association </w:t>
      </w:r>
      <w:r w:rsidRPr="00081D6B">
        <w:t>staff</w:t>
      </w:r>
      <w:r w:rsidR="00081D6B">
        <w:t xml:space="preserve"> or contractors</w:t>
      </w:r>
      <w:r>
        <w:t xml:space="preserve"> may become aware of concerns during home visits, office contact, </w:t>
      </w:r>
      <w:r w:rsidR="05455783">
        <w:t>repairs,</w:t>
      </w:r>
      <w:r>
        <w:t xml:space="preserve"> and maintenance activity, or through information shared by others.</w:t>
      </w:r>
    </w:p>
    <w:p w14:paraId="5DB95825" w14:textId="31741216" w:rsidR="00053BC3" w:rsidRDefault="7E232F2A" w:rsidP="00053BC3">
      <w:r w:rsidRPr="6B9075A0">
        <w:rPr>
          <w:b/>
          <w:bCs/>
        </w:rPr>
        <w:t>Our commitment</w:t>
      </w:r>
      <w:r w:rsidR="00053BC3">
        <w:br/>
      </w:r>
      <w:r>
        <w:t xml:space="preserve">We will act promptly, proportionately and in partnership with statutory agencies to help keep adults safe from harm, while respecting rights, dignity, </w:t>
      </w:r>
      <w:r w:rsidR="750DFCA7">
        <w:t>choice,</w:t>
      </w:r>
      <w:r>
        <w:t xml:space="preserve"> and control wherever possible.</w:t>
      </w:r>
    </w:p>
    <w:p w14:paraId="0EB5B063" w14:textId="33224555" w:rsidR="00FF1903" w:rsidRDefault="00053BC3" w:rsidP="00053BC3">
      <w:r>
        <w:rPr>
          <w:b/>
          <w:bCs/>
        </w:rPr>
        <w:t>What is adult support and protection?</w:t>
      </w:r>
      <w:r>
        <w:br/>
        <w:t>Adult support and protection refer to the processes and actions taken where there are concerns that an adult may be at risk</w:t>
      </w:r>
      <w:r w:rsidR="00FF1903">
        <w:t>:</w:t>
      </w:r>
    </w:p>
    <w:p w14:paraId="378C7418" w14:textId="02F9F293" w:rsidR="00A43FDF" w:rsidRDefault="00A43FDF" w:rsidP="008D732F">
      <w:pPr>
        <w:pStyle w:val="ListParagraph"/>
        <w:numPr>
          <w:ilvl w:val="1"/>
          <w:numId w:val="9"/>
        </w:numPr>
      </w:pPr>
      <w:r>
        <w:t>O</w:t>
      </w:r>
      <w:r w:rsidR="00053BC3">
        <w:t>f harm</w:t>
      </w:r>
    </w:p>
    <w:p w14:paraId="3C433A00" w14:textId="6DB1C960" w:rsidR="00A43FDF" w:rsidRDefault="00A43FDF" w:rsidP="008D732F">
      <w:pPr>
        <w:pStyle w:val="ListParagraph"/>
        <w:numPr>
          <w:ilvl w:val="1"/>
          <w:numId w:val="9"/>
        </w:numPr>
      </w:pPr>
      <w:r>
        <w:t>Cannot protect themselv</w:t>
      </w:r>
      <w:r w:rsidR="00F73473">
        <w:t xml:space="preserve">es or their property </w:t>
      </w:r>
    </w:p>
    <w:p w14:paraId="2C2D8AC8" w14:textId="289716BA" w:rsidR="00F73473" w:rsidRDefault="14162161" w:rsidP="008D732F">
      <w:pPr>
        <w:pStyle w:val="ListParagraph"/>
        <w:numPr>
          <w:ilvl w:val="1"/>
          <w:numId w:val="9"/>
        </w:numPr>
      </w:pPr>
      <w:r>
        <w:t xml:space="preserve">More vulnerable than other </w:t>
      </w:r>
      <w:r w:rsidR="209E1FBD">
        <w:t>because of</w:t>
      </w:r>
      <w:r>
        <w:t xml:space="preserve"> disability, mental hea</w:t>
      </w:r>
      <w:r w:rsidR="4C56C5F0">
        <w:t>l</w:t>
      </w:r>
      <w:r>
        <w:t>t</w:t>
      </w:r>
      <w:r w:rsidR="6DFC558E">
        <w:t xml:space="preserve">h, </w:t>
      </w:r>
      <w:r w:rsidR="03F28541">
        <w:t>illness,</w:t>
      </w:r>
      <w:r w:rsidR="6DFC558E">
        <w:t xml:space="preserve"> or </w:t>
      </w:r>
      <w:r w:rsidR="3DA0C358">
        <w:t xml:space="preserve">mental infirmity </w:t>
      </w:r>
    </w:p>
    <w:p w14:paraId="024FC43C" w14:textId="0E241AAF" w:rsidR="00053BC3" w:rsidRDefault="00053BC3" w:rsidP="00053BC3">
      <w:r>
        <w:t>This includes recognising indicators of harm, making appropriate enquiries, sharing information lawfully, and working with partners so that risk can be assessed and protective action taken.</w:t>
      </w:r>
    </w:p>
    <w:p w14:paraId="21E597D6" w14:textId="77777777" w:rsidR="00053BC3" w:rsidRPr="00FC0C1C" w:rsidRDefault="00053BC3">
      <w:pPr>
        <w:pStyle w:val="Heading1"/>
        <w:rPr>
          <w:b/>
          <w:bCs/>
          <w:color w:val="auto"/>
          <w:sz w:val="24"/>
          <w:szCs w:val="24"/>
          <w:lang w:eastAsia="en-GB"/>
        </w:rPr>
      </w:pPr>
      <w:r w:rsidRPr="00FC0C1C">
        <w:rPr>
          <w:b/>
          <w:bCs/>
          <w:color w:val="auto"/>
          <w:sz w:val="24"/>
          <w:szCs w:val="24"/>
        </w:rPr>
        <w:t>2. Principles</w:t>
      </w:r>
    </w:p>
    <w:p w14:paraId="3078E6C0" w14:textId="31429BF4" w:rsidR="00D526FF" w:rsidRPr="0038126D" w:rsidRDefault="07DD4F7B">
      <w:pPr>
        <w:rPr>
          <w:lang w:eastAsia="en-GB"/>
        </w:rPr>
      </w:pPr>
      <w:r>
        <w:t xml:space="preserve">Adult safeguarding is everyone’s responsibility. The Association will promote a culture in which staff </w:t>
      </w:r>
      <w:r w:rsidR="002C22F5">
        <w:t xml:space="preserve">and contractors </w:t>
      </w:r>
      <w:r>
        <w:t xml:space="preserve">recognise concerns, respond </w:t>
      </w:r>
      <w:r w:rsidR="37E51C8A">
        <w:t>appropriately,</w:t>
      </w:r>
      <w:r>
        <w:t xml:space="preserve"> and share information to protect adults from harm. When applying this policy, we will follow the guiding principles in Part 1 of the Adult Support and Protection (Scotland) Act 2007.</w:t>
      </w:r>
    </w:p>
    <w:p w14:paraId="7A41E07A" w14:textId="6A49A577" w:rsidR="00D526FF" w:rsidRPr="0038126D" w:rsidRDefault="07DD4F7B">
      <w:pPr>
        <w:rPr>
          <w:lang w:eastAsia="en-GB"/>
        </w:rPr>
      </w:pPr>
      <w:r>
        <w:lastRenderedPageBreak/>
        <w:t xml:space="preserve">The overarching principle is that any intervention in an adult’s affairs must provide benefit to the adult which could not </w:t>
      </w:r>
      <w:bookmarkStart w:id="0" w:name="_Int_41No6KE1"/>
      <w:r>
        <w:t>reasonably be</w:t>
      </w:r>
      <w:bookmarkEnd w:id="0"/>
      <w:r>
        <w:t xml:space="preserve"> achieved without the </w:t>
      </w:r>
      <w:r w:rsidR="209E1FBD">
        <w:t>intervention and</w:t>
      </w:r>
      <w:r>
        <w:t xml:space="preserve"> must be the least restrictive option of those likely to achieve the intended outcome.</w:t>
      </w:r>
    </w:p>
    <w:p w14:paraId="45D6FE91" w14:textId="77777777" w:rsidR="00D526FF" w:rsidRDefault="00D526FF">
      <w:pPr>
        <w:rPr>
          <w:lang w:eastAsia="en-GB"/>
        </w:rPr>
      </w:pPr>
      <w:r>
        <w:t>In practice, this means we will:</w:t>
      </w:r>
    </w:p>
    <w:p w14:paraId="1B8C1132" w14:textId="77777777" w:rsidR="00D526FF" w:rsidRDefault="00D526FF" w:rsidP="00D526FF">
      <w:pPr>
        <w:pStyle w:val="ListParagraph"/>
        <w:numPr>
          <w:ilvl w:val="0"/>
          <w:numId w:val="19"/>
        </w:numPr>
      </w:pPr>
      <w:r w:rsidRPr="00D526FF">
        <w:rPr>
          <w:b/>
          <w:bCs/>
        </w:rPr>
        <w:t>Wishes and feelings</w:t>
      </w:r>
      <w:r>
        <w:t xml:space="preserve"> – take account of the adult’s ascertainable wishes and feelings (past and present).</w:t>
      </w:r>
    </w:p>
    <w:p w14:paraId="64BEA6F2" w14:textId="77777777" w:rsidR="0003366A" w:rsidRDefault="0003366A" w:rsidP="0003366A">
      <w:pPr>
        <w:pStyle w:val="ListParagraph"/>
        <w:numPr>
          <w:ilvl w:val="0"/>
          <w:numId w:val="19"/>
        </w:numPr>
      </w:pPr>
      <w:r>
        <w:rPr>
          <w:b/>
          <w:bCs/>
        </w:rPr>
        <w:t>Views of relevant others</w:t>
      </w:r>
      <w:r>
        <w:t xml:space="preserve"> – take account of known views of the adult’s nearest relative, any primary carer, guardian or attorney, and any other person with an interest in the adult’s wellbeing or property, </w:t>
      </w:r>
      <w:proofErr w:type="gramStart"/>
      <w:r>
        <w:t>provided that</w:t>
      </w:r>
      <w:proofErr w:type="gramEnd"/>
      <w:r>
        <w:t xml:space="preserve"> person is not the alleged abuser or the person causing harm.</w:t>
      </w:r>
    </w:p>
    <w:p w14:paraId="2B2795A7" w14:textId="77777777" w:rsidR="00D526FF" w:rsidRDefault="00D526FF" w:rsidP="00D526FF">
      <w:pPr>
        <w:pStyle w:val="ListParagraph"/>
        <w:numPr>
          <w:ilvl w:val="0"/>
          <w:numId w:val="19"/>
        </w:numPr>
      </w:pPr>
      <w:r>
        <w:rPr>
          <w:b/>
          <w:bCs/>
        </w:rPr>
        <w:t>Participation and support</w:t>
      </w:r>
      <w:r>
        <w:t xml:space="preserve"> – support the adult to participate as fully as possible and provide the information and support needed to enable them to do so.</w:t>
      </w:r>
    </w:p>
    <w:p w14:paraId="28A50362" w14:textId="77777777" w:rsidR="00D526FF" w:rsidRDefault="00D526FF" w:rsidP="00D526FF">
      <w:pPr>
        <w:pStyle w:val="ListParagraph"/>
        <w:numPr>
          <w:ilvl w:val="0"/>
          <w:numId w:val="19"/>
        </w:numPr>
      </w:pPr>
      <w:r>
        <w:rPr>
          <w:b/>
          <w:bCs/>
        </w:rPr>
        <w:t>Fair and non-discriminatory treatment</w:t>
      </w:r>
      <w:r>
        <w:t xml:space="preserve"> – ensure the adult is not, without justification, treated less favourably than an adult who is not an adult at risk in a comparable situation.</w:t>
      </w:r>
    </w:p>
    <w:p w14:paraId="5D7F86AA" w14:textId="5370673E" w:rsidR="00D526FF" w:rsidRDefault="07DD4F7B" w:rsidP="00D526FF">
      <w:pPr>
        <w:pStyle w:val="ListParagraph"/>
        <w:numPr>
          <w:ilvl w:val="0"/>
          <w:numId w:val="19"/>
        </w:numPr>
      </w:pPr>
      <w:r w:rsidRPr="6B9075A0">
        <w:rPr>
          <w:b/>
          <w:bCs/>
        </w:rPr>
        <w:t>Individual circumstances</w:t>
      </w:r>
      <w:r>
        <w:t xml:space="preserve"> – take account of the adult’s abilities, </w:t>
      </w:r>
      <w:r w:rsidR="35D1830C">
        <w:t>background,</w:t>
      </w:r>
      <w:r>
        <w:t xml:space="preserve"> and characteristics (including age, sex, sexual orientation, religion, racial origin, ethnic group, and cultural and linguistic heritage).</w:t>
      </w:r>
    </w:p>
    <w:p w14:paraId="2277DCFB" w14:textId="77777777" w:rsidR="00053BC3" w:rsidRPr="00FC0C1C" w:rsidRDefault="00053BC3">
      <w:pPr>
        <w:pStyle w:val="Heading1"/>
        <w:rPr>
          <w:b/>
          <w:bCs/>
          <w:color w:val="auto"/>
          <w:sz w:val="24"/>
          <w:szCs w:val="24"/>
          <w:lang w:eastAsia="en-GB"/>
        </w:rPr>
      </w:pPr>
      <w:r w:rsidRPr="00FC0C1C">
        <w:rPr>
          <w:b/>
          <w:bCs/>
          <w:color w:val="auto"/>
          <w:sz w:val="24"/>
          <w:szCs w:val="24"/>
        </w:rPr>
        <w:t>3. Legislation and guidance</w:t>
      </w:r>
    </w:p>
    <w:p w14:paraId="6A5F13C4" w14:textId="77777777" w:rsidR="00053BC3" w:rsidRDefault="00053BC3" w:rsidP="00053BC3">
      <w:r>
        <w:t>This policy has been developed with reference to the following key legislation and guidance (as amended from time to time):</w:t>
      </w:r>
    </w:p>
    <w:p w14:paraId="6EFE68B6" w14:textId="77777777" w:rsidR="001E326A" w:rsidRDefault="001E326A">
      <w:pPr>
        <w:rPr>
          <w:lang w:eastAsia="en-GB"/>
        </w:rPr>
      </w:pPr>
      <w:r>
        <w:t>This list is not exhaustive. Other legislation (including housing, criminal and civil law) may also be relevant depending on the circumstances.</w:t>
      </w:r>
    </w:p>
    <w:p w14:paraId="3C3BF3B8" w14:textId="5FC6D541" w:rsidR="001E326A" w:rsidRDefault="769077EE" w:rsidP="001E326A">
      <w:pPr>
        <w:pStyle w:val="ListParagraph"/>
        <w:numPr>
          <w:ilvl w:val="0"/>
          <w:numId w:val="4"/>
        </w:numPr>
      </w:pPr>
      <w:r w:rsidRPr="6B9075A0">
        <w:rPr>
          <w:b/>
          <w:bCs/>
        </w:rPr>
        <w:t>Adult Support and Protection (Scotland) Act 2007</w:t>
      </w:r>
      <w:r>
        <w:t xml:space="preserve"> – the main legal framework for adult support and protection, including duties and powers of councils to inquire and </w:t>
      </w:r>
      <w:r w:rsidR="05FC5E07">
        <w:t>act</w:t>
      </w:r>
      <w:r>
        <w:t xml:space="preserve"> where an adult is at risk of harm.</w:t>
      </w:r>
    </w:p>
    <w:p w14:paraId="6301A0A6" w14:textId="77777777" w:rsidR="001E326A" w:rsidRDefault="001E326A" w:rsidP="001E326A">
      <w:pPr>
        <w:pStyle w:val="ListParagraph"/>
        <w:numPr>
          <w:ilvl w:val="0"/>
          <w:numId w:val="4"/>
        </w:numPr>
      </w:pPr>
      <w:r>
        <w:rPr>
          <w:b/>
          <w:bCs/>
        </w:rPr>
        <w:t>Adults with Incapacity (Scotland) Act 2000</w:t>
      </w:r>
      <w:r>
        <w:t xml:space="preserve"> – decision-making and safeguarding measures where an adult lacks capacity.</w:t>
      </w:r>
    </w:p>
    <w:p w14:paraId="507CF318" w14:textId="77777777" w:rsidR="001E326A" w:rsidRDefault="001E326A" w:rsidP="001E326A">
      <w:pPr>
        <w:pStyle w:val="ListParagraph"/>
        <w:numPr>
          <w:ilvl w:val="0"/>
          <w:numId w:val="4"/>
        </w:numPr>
      </w:pPr>
      <w:r>
        <w:rPr>
          <w:b/>
          <w:bCs/>
        </w:rPr>
        <w:t>Mental Health (Care and Treatment) (Scotland) Act 2003</w:t>
      </w:r>
      <w:r>
        <w:t xml:space="preserve"> – safeguards and powers relating to mental health care and treatment.</w:t>
      </w:r>
    </w:p>
    <w:p w14:paraId="6486C40C" w14:textId="77777777" w:rsidR="001E326A" w:rsidRDefault="001E326A" w:rsidP="001E326A">
      <w:pPr>
        <w:pStyle w:val="ListParagraph"/>
        <w:numPr>
          <w:ilvl w:val="0"/>
          <w:numId w:val="4"/>
        </w:numPr>
      </w:pPr>
      <w:r>
        <w:rPr>
          <w:b/>
          <w:bCs/>
        </w:rPr>
        <w:t>Domestic Abuse (Scotland) Act 2018</w:t>
      </w:r>
      <w:r>
        <w:t xml:space="preserve"> – offences and protective measures relating to domestic abuse, including coercive control.</w:t>
      </w:r>
    </w:p>
    <w:p w14:paraId="211BE285" w14:textId="77777777" w:rsidR="001E326A" w:rsidRDefault="001E326A" w:rsidP="001E326A">
      <w:pPr>
        <w:pStyle w:val="ListParagraph"/>
        <w:numPr>
          <w:ilvl w:val="0"/>
          <w:numId w:val="4"/>
        </w:numPr>
      </w:pPr>
      <w:r>
        <w:rPr>
          <w:b/>
          <w:bCs/>
        </w:rPr>
        <w:t>Human Trafficking and Exploitation (Scotland) Act 2015</w:t>
      </w:r>
      <w:r>
        <w:t xml:space="preserve"> – offences and protections relating to trafficking and exploitation.</w:t>
      </w:r>
    </w:p>
    <w:p w14:paraId="45CDB9D8" w14:textId="77777777" w:rsidR="001E326A" w:rsidRDefault="001E326A" w:rsidP="001E326A">
      <w:pPr>
        <w:pStyle w:val="ListParagraph"/>
        <w:numPr>
          <w:ilvl w:val="0"/>
          <w:numId w:val="4"/>
        </w:numPr>
      </w:pPr>
      <w:r>
        <w:rPr>
          <w:b/>
          <w:bCs/>
        </w:rPr>
        <w:t>Carers (Scotland) Act 2016</w:t>
      </w:r>
      <w:r>
        <w:t xml:space="preserve"> – duties to support carers, which may be relevant where a carer relationship affects risk and support planning.</w:t>
      </w:r>
    </w:p>
    <w:p w14:paraId="005F6FC9" w14:textId="15FB593B" w:rsidR="001E326A" w:rsidRDefault="769077EE" w:rsidP="001E326A">
      <w:pPr>
        <w:pStyle w:val="ListParagraph"/>
        <w:numPr>
          <w:ilvl w:val="0"/>
          <w:numId w:val="4"/>
        </w:numPr>
      </w:pPr>
      <w:r w:rsidRPr="6B9075A0">
        <w:rPr>
          <w:b/>
          <w:bCs/>
        </w:rPr>
        <w:lastRenderedPageBreak/>
        <w:t>Protection of Vulnerable Groups (Scotland) Act 2007</w:t>
      </w:r>
      <w:r>
        <w:t xml:space="preserve"> and </w:t>
      </w:r>
      <w:r w:rsidRPr="6B9075A0">
        <w:rPr>
          <w:b/>
          <w:bCs/>
        </w:rPr>
        <w:t>Disclosure (Scotland) Act 2020</w:t>
      </w:r>
      <w:r>
        <w:t xml:space="preserve"> – safer recruitment, </w:t>
      </w:r>
      <w:r w:rsidR="1AF00227">
        <w:t>disclosure,</w:t>
      </w:r>
      <w:r>
        <w:t xml:space="preserve"> and barring arrangements for regulated roles.</w:t>
      </w:r>
    </w:p>
    <w:p w14:paraId="68501D1A" w14:textId="77777777" w:rsidR="001E326A" w:rsidRDefault="001E326A" w:rsidP="001E326A">
      <w:pPr>
        <w:pStyle w:val="ListParagraph"/>
        <w:numPr>
          <w:ilvl w:val="0"/>
          <w:numId w:val="4"/>
        </w:numPr>
      </w:pPr>
      <w:r>
        <w:rPr>
          <w:b/>
          <w:bCs/>
        </w:rPr>
        <w:t>Equality Act 2010</w:t>
      </w:r>
      <w:r>
        <w:t>.</w:t>
      </w:r>
    </w:p>
    <w:p w14:paraId="6479594B" w14:textId="77777777" w:rsidR="001E326A" w:rsidRDefault="001E326A" w:rsidP="001E326A">
      <w:pPr>
        <w:pStyle w:val="ListParagraph"/>
        <w:numPr>
          <w:ilvl w:val="0"/>
          <w:numId w:val="4"/>
        </w:numPr>
      </w:pPr>
      <w:r>
        <w:rPr>
          <w:b/>
          <w:bCs/>
        </w:rPr>
        <w:t>Human Rights Act 1998</w:t>
      </w:r>
      <w:r>
        <w:t>.</w:t>
      </w:r>
    </w:p>
    <w:p w14:paraId="1E637B39" w14:textId="77777777" w:rsidR="001E326A" w:rsidRDefault="001E326A" w:rsidP="001E326A">
      <w:pPr>
        <w:pStyle w:val="ListParagraph"/>
        <w:numPr>
          <w:ilvl w:val="0"/>
          <w:numId w:val="4"/>
        </w:numPr>
      </w:pPr>
      <w:r>
        <w:rPr>
          <w:b/>
          <w:bCs/>
        </w:rPr>
        <w:t>Data Protection Act 2018</w:t>
      </w:r>
      <w:r>
        <w:t xml:space="preserve"> (and UK GDPR) – handling and sharing personal data lawfully.</w:t>
      </w:r>
    </w:p>
    <w:p w14:paraId="706BFE79" w14:textId="77777777" w:rsidR="00AB3FF6" w:rsidRDefault="00AB3FF6">
      <w:pPr>
        <w:rPr>
          <w:lang w:eastAsia="en-GB"/>
        </w:rPr>
      </w:pPr>
      <w:r>
        <w:rPr>
          <w:b/>
          <w:bCs/>
        </w:rPr>
        <w:t>Other relevant legislation (depending on circumstances)</w:t>
      </w:r>
    </w:p>
    <w:p w14:paraId="6E0107BD" w14:textId="77777777" w:rsidR="00AB3FF6" w:rsidRDefault="00AB3FF6" w:rsidP="00AB3FF6">
      <w:pPr>
        <w:pStyle w:val="ListParagraph"/>
        <w:numPr>
          <w:ilvl w:val="0"/>
          <w:numId w:val="7"/>
        </w:numPr>
      </w:pPr>
      <w:r w:rsidRPr="00AB3FF6">
        <w:rPr>
          <w:b/>
          <w:bCs/>
        </w:rPr>
        <w:t>Housing (Scotland) Act 2014</w:t>
      </w:r>
      <w:r>
        <w:t xml:space="preserve"> – relevant to housing management and tenancy matters which may overlap with safeguarding (for example, sustaining tenancies and addressing antisocial behaviour).</w:t>
      </w:r>
    </w:p>
    <w:p w14:paraId="3892E01C" w14:textId="77777777" w:rsidR="00AB3FF6" w:rsidRDefault="00AB3FF6" w:rsidP="00AB3FF6">
      <w:pPr>
        <w:pStyle w:val="ListParagraph"/>
        <w:numPr>
          <w:ilvl w:val="0"/>
          <w:numId w:val="7"/>
        </w:numPr>
      </w:pPr>
      <w:r>
        <w:rPr>
          <w:b/>
          <w:bCs/>
        </w:rPr>
        <w:t>Housing (Scotland) Act 2025</w:t>
      </w:r>
      <w:r>
        <w:t xml:space="preserve"> – relevant to tenant rights and protections and wider housing measures which may be relevant when supporting tenants affected by harm.</w:t>
      </w:r>
    </w:p>
    <w:p w14:paraId="478C6FB5" w14:textId="77777777" w:rsidR="00053BC3" w:rsidRPr="00B177D7" w:rsidRDefault="00053BC3">
      <w:pPr>
        <w:pStyle w:val="Heading1"/>
        <w:rPr>
          <w:b/>
          <w:bCs/>
          <w:color w:val="auto"/>
          <w:sz w:val="24"/>
          <w:szCs w:val="24"/>
          <w:lang w:eastAsia="en-GB"/>
        </w:rPr>
      </w:pPr>
      <w:r w:rsidRPr="00B177D7">
        <w:rPr>
          <w:b/>
          <w:bCs/>
          <w:color w:val="auto"/>
          <w:sz w:val="24"/>
          <w:szCs w:val="24"/>
        </w:rPr>
        <w:t>4. Who does this policy apply to?</w:t>
      </w:r>
    </w:p>
    <w:p w14:paraId="15313BF8" w14:textId="54C6667A" w:rsidR="00053BC3" w:rsidRDefault="7E232F2A" w:rsidP="00053BC3">
      <w:r>
        <w:t xml:space="preserve">This policy applies to all Angus Housing Association staff, Board </w:t>
      </w:r>
      <w:r w:rsidR="50F624A7">
        <w:t>members,</w:t>
      </w:r>
      <w:r>
        <w:t xml:space="preserve"> </w:t>
      </w:r>
      <w:r w:rsidR="00C74727">
        <w:t xml:space="preserve">tenants </w:t>
      </w:r>
      <w:r>
        <w:t>and volunteers.</w:t>
      </w:r>
    </w:p>
    <w:p w14:paraId="25927A38" w14:textId="77777777" w:rsidR="00053BC3" w:rsidRDefault="00053BC3" w:rsidP="00053BC3">
      <w:r>
        <w:t xml:space="preserve">Under the Adult Support and Protection (Scotland) Act 2007, an </w:t>
      </w:r>
      <w:r>
        <w:rPr>
          <w:b/>
          <w:bCs/>
        </w:rPr>
        <w:t>adult at risk</w:t>
      </w:r>
      <w:r>
        <w:t xml:space="preserve"> is an adult (aged 16 or over) who:</w:t>
      </w:r>
    </w:p>
    <w:p w14:paraId="769FB1A5" w14:textId="551EB20F" w:rsidR="00053BC3" w:rsidRDefault="7E232F2A" w:rsidP="6B9075A0">
      <w:pPr>
        <w:numPr>
          <w:ilvl w:val="0"/>
          <w:numId w:val="16"/>
        </w:numPr>
        <w:spacing w:beforeAutospacing="1" w:after="0" w:afterAutospacing="1"/>
        <w:rPr>
          <w:lang w:eastAsia="en-GB"/>
        </w:rPr>
      </w:pPr>
      <w:r>
        <w:t xml:space="preserve">is unable to safeguard their own well-being, property, </w:t>
      </w:r>
      <w:r w:rsidR="55367B65">
        <w:t>rights,</w:t>
      </w:r>
      <w:r>
        <w:t xml:space="preserve"> or other interests,</w:t>
      </w:r>
    </w:p>
    <w:p w14:paraId="676EF6E2" w14:textId="77777777" w:rsidR="00053BC3" w:rsidRDefault="00053BC3" w:rsidP="00053BC3">
      <w:pPr>
        <w:numPr>
          <w:ilvl w:val="0"/>
          <w:numId w:val="16"/>
        </w:numPr>
        <w:spacing w:beforeAutospacing="1" w:after="0" w:afterAutospacing="1"/>
      </w:pPr>
      <w:r>
        <w:t>is at risk of harm, and</w:t>
      </w:r>
    </w:p>
    <w:p w14:paraId="27022454" w14:textId="7B8169D1" w:rsidR="00053BC3" w:rsidRDefault="7E232F2A" w:rsidP="6B9075A0">
      <w:pPr>
        <w:numPr>
          <w:ilvl w:val="0"/>
          <w:numId w:val="16"/>
        </w:numPr>
        <w:spacing w:beforeAutospacing="1" w:after="0" w:afterAutospacing="1"/>
      </w:pPr>
      <w:r>
        <w:t xml:space="preserve">because </w:t>
      </w:r>
      <w:r w:rsidR="000A2934">
        <w:t>of disability</w:t>
      </w:r>
      <w:r w:rsidR="00497D97">
        <w:t>, mental ill health</w:t>
      </w:r>
      <w:r>
        <w:t xml:space="preserve">, illness or </w:t>
      </w:r>
      <w:r w:rsidR="000900A1">
        <w:t xml:space="preserve">other physical or mental health needs, they </w:t>
      </w:r>
      <w:r w:rsidR="000C1E0D">
        <w:t xml:space="preserve">may be more </w:t>
      </w:r>
      <w:r>
        <w:t xml:space="preserve">vulnerable to harm than </w:t>
      </w:r>
      <w:r w:rsidR="009E06C5">
        <w:t xml:space="preserve">other </w:t>
      </w:r>
      <w:r>
        <w:t>adults</w:t>
      </w:r>
      <w:r w:rsidR="009E06C5">
        <w:t>.</w:t>
      </w:r>
    </w:p>
    <w:p w14:paraId="31E0B6DB" w14:textId="77777777" w:rsidR="00237DD6" w:rsidRDefault="00237DD6">
      <w:pPr>
        <w:rPr>
          <w:lang w:eastAsia="en-GB"/>
        </w:rPr>
      </w:pPr>
      <w:r>
        <w:rPr>
          <w:b/>
          <w:bCs/>
        </w:rPr>
        <w:t>Adult at Risk: three-part test</w:t>
      </w:r>
      <w:r>
        <w:br/>
        <w:t xml:space="preserve">Under section 3(1) of the Adult Support and Protection (Scotland) Act 2007, an adult is an adult at risk only where all three parts of the test are met. First, the adult must be unable to safeguard their own wellbeing, property, rights, or other interests. This does not mean that the person lacks capacity in every area of their life, but that in the </w:t>
      </w:r>
      <w:proofErr w:type="gramStart"/>
      <w:r>
        <w:t>particular circumstances</w:t>
      </w:r>
      <w:proofErr w:type="gramEnd"/>
      <w:r>
        <w:t xml:space="preserve"> they are not able to protect themselves or act to prevent harm. Secondly, the adult must be at risk of harm. Harm can include conduct which causes physical, psychological, financial, sexual, or other damage, and the risk may arise from a single incident or an ongoing pattern of behaviour. Thirdly, because the adult is affected by disability, mental disorder, illness, or physical or mental infirmity, they must be more vulnerable to being harmed than an adult who is not so affected. The Adult Support and Protection (Scotland) Act 2007 makes clear that all three parts of this </w:t>
      </w:r>
      <w:r>
        <w:lastRenderedPageBreak/>
        <w:t>test must apply before a person meets the legal definition of an adult at risk for the purposes of the Act.</w:t>
      </w:r>
    </w:p>
    <w:p w14:paraId="2B3A4162" w14:textId="77777777" w:rsidR="00237DD6" w:rsidRDefault="00237DD6" w:rsidP="00237DD6">
      <w:pPr>
        <w:pStyle w:val="ListParagraph"/>
        <w:numPr>
          <w:ilvl w:val="0"/>
          <w:numId w:val="1"/>
        </w:numPr>
      </w:pPr>
      <w:r>
        <w:t xml:space="preserve">The adult is </w:t>
      </w:r>
      <w:r>
        <w:rPr>
          <w:b/>
          <w:bCs/>
        </w:rPr>
        <w:t>unable to safeguard</w:t>
      </w:r>
      <w:r>
        <w:t xml:space="preserve"> their own wellbeing, property, rights, or other interests.</w:t>
      </w:r>
    </w:p>
    <w:p w14:paraId="2011637D" w14:textId="77777777" w:rsidR="00237DD6" w:rsidRDefault="00237DD6" w:rsidP="00237DD6">
      <w:pPr>
        <w:pStyle w:val="ListParagraph"/>
        <w:numPr>
          <w:ilvl w:val="0"/>
          <w:numId w:val="1"/>
        </w:numPr>
      </w:pPr>
      <w:r>
        <w:t xml:space="preserve">The adult is </w:t>
      </w:r>
      <w:r>
        <w:rPr>
          <w:b/>
          <w:bCs/>
        </w:rPr>
        <w:t>at risk of harm</w:t>
      </w:r>
      <w:r>
        <w:t>.</w:t>
      </w:r>
    </w:p>
    <w:p w14:paraId="7F41944C" w14:textId="77777777" w:rsidR="00237DD6" w:rsidRDefault="00237DD6" w:rsidP="00237DD6">
      <w:pPr>
        <w:pStyle w:val="ListParagraph"/>
        <w:numPr>
          <w:ilvl w:val="0"/>
          <w:numId w:val="1"/>
        </w:numPr>
      </w:pPr>
      <w:r>
        <w:t xml:space="preserve">Because the adult is affected by </w:t>
      </w:r>
      <w:r>
        <w:rPr>
          <w:b/>
          <w:bCs/>
        </w:rPr>
        <w:t>disability</w:t>
      </w:r>
      <w:r>
        <w:t xml:space="preserve">, </w:t>
      </w:r>
      <w:r>
        <w:rPr>
          <w:b/>
          <w:bCs/>
        </w:rPr>
        <w:t>mental disorder</w:t>
      </w:r>
      <w:r>
        <w:t xml:space="preserve">, </w:t>
      </w:r>
      <w:r>
        <w:rPr>
          <w:b/>
          <w:bCs/>
        </w:rPr>
        <w:t>illness</w:t>
      </w:r>
      <w:r>
        <w:t xml:space="preserve">, or </w:t>
      </w:r>
      <w:r>
        <w:rPr>
          <w:b/>
          <w:bCs/>
        </w:rPr>
        <w:t>physical or mental infirmity</w:t>
      </w:r>
      <w:r>
        <w:t xml:space="preserve">, they are </w:t>
      </w:r>
      <w:r>
        <w:rPr>
          <w:b/>
          <w:bCs/>
        </w:rPr>
        <w:t>more vulnerable to being harmed</w:t>
      </w:r>
      <w:r>
        <w:t xml:space="preserve"> than an adult who is not so affected, as set out in section 3(1)(c) of the </w:t>
      </w:r>
      <w:r>
        <w:rPr>
          <w:b/>
          <w:bCs/>
        </w:rPr>
        <w:t>Adult Support and Protection (Scotland) Act 2007</w:t>
      </w:r>
      <w:r>
        <w:t>.</w:t>
      </w:r>
    </w:p>
    <w:p w14:paraId="0F2B9D97" w14:textId="77777777" w:rsidR="00053BC3" w:rsidRDefault="00053BC3" w:rsidP="00053BC3">
      <w:r>
        <w:t>It is important to recognise that not all adults who experience harm will meet the legal definition of an adult at risk. However, concerns about harm should still be taken seriously and may require referral to appropriate services. Wherever possible, and unless this would increase risk, adults should be involved in decisions that affect them, with due regard to capacity and consent.</w:t>
      </w:r>
    </w:p>
    <w:p w14:paraId="736F1C13" w14:textId="77777777" w:rsidR="00053BC3" w:rsidRPr="00FC0C1C" w:rsidRDefault="00053BC3">
      <w:pPr>
        <w:pStyle w:val="Heading1"/>
        <w:rPr>
          <w:b/>
          <w:bCs/>
          <w:color w:val="auto"/>
          <w:sz w:val="24"/>
          <w:szCs w:val="24"/>
          <w:lang w:eastAsia="en-GB"/>
        </w:rPr>
      </w:pPr>
      <w:r w:rsidRPr="00FC0C1C">
        <w:rPr>
          <w:b/>
          <w:bCs/>
          <w:color w:val="auto"/>
          <w:sz w:val="24"/>
          <w:szCs w:val="24"/>
        </w:rPr>
        <w:t>5. Types of harm and indicators</w:t>
      </w:r>
    </w:p>
    <w:p w14:paraId="048EF9BE" w14:textId="250A6957" w:rsidR="00053BC3" w:rsidRDefault="7E232F2A" w:rsidP="00053BC3">
      <w:r>
        <w:t xml:space="preserve">Harm may be a single act or repeated acts and can be intentional or unintentional. It may occur in a person’s own home, in communal areas, in supported accommodation, in institutional settings, or online. Harm can be carried out by someone known to the adult, by a </w:t>
      </w:r>
      <w:bookmarkStart w:id="1" w:name="_Int_Z6WrpseT"/>
      <w:proofErr w:type="spellStart"/>
      <w:r>
        <w:t>carer</w:t>
      </w:r>
      <w:bookmarkEnd w:id="1"/>
      <w:proofErr w:type="spellEnd"/>
      <w:r>
        <w:t xml:space="preserve">, by a family member, by </w:t>
      </w:r>
      <w:r w:rsidR="002B43FF">
        <w:t xml:space="preserve">a </w:t>
      </w:r>
      <w:r w:rsidR="002B43FF" w:rsidRPr="00CE3FA4">
        <w:t>neighbour</w:t>
      </w:r>
      <w:r w:rsidRPr="00CE3FA4">
        <w:t>,</w:t>
      </w:r>
      <w:r>
        <w:t xml:space="preserve"> or by a stranger.</w:t>
      </w:r>
    </w:p>
    <w:p w14:paraId="1A5A9221" w14:textId="77777777" w:rsidR="00053BC3" w:rsidRDefault="7E232F2A" w:rsidP="6B9075A0">
      <w:pPr>
        <w:numPr>
          <w:ilvl w:val="0"/>
          <w:numId w:val="6"/>
        </w:numPr>
        <w:spacing w:beforeAutospacing="1" w:after="0" w:afterAutospacing="1"/>
        <w:rPr>
          <w:lang w:eastAsia="en-GB"/>
        </w:rPr>
      </w:pPr>
      <w:r w:rsidRPr="00CE3FA4">
        <w:rPr>
          <w:b/>
          <w:bCs/>
        </w:rPr>
        <w:t>Physical harm</w:t>
      </w:r>
      <w:r w:rsidRPr="00CE3FA4">
        <w:t xml:space="preserve"> (including</w:t>
      </w:r>
      <w:r>
        <w:t xml:space="preserve"> assault, restraint, misuse of medication).</w:t>
      </w:r>
    </w:p>
    <w:p w14:paraId="1FA4C738" w14:textId="77777777" w:rsidR="00053BC3" w:rsidRDefault="00053BC3" w:rsidP="00053BC3">
      <w:pPr>
        <w:numPr>
          <w:ilvl w:val="0"/>
          <w:numId w:val="6"/>
        </w:numPr>
        <w:spacing w:beforeAutospacing="1" w:after="0" w:afterAutospacing="1"/>
      </w:pPr>
      <w:r>
        <w:rPr>
          <w:b/>
          <w:bCs/>
        </w:rPr>
        <w:t>Psychological or emotional harm</w:t>
      </w:r>
      <w:r>
        <w:t xml:space="preserve"> (including threats, intimidation, humiliation, harassment, coercion).</w:t>
      </w:r>
    </w:p>
    <w:p w14:paraId="0F7B70E9" w14:textId="77777777" w:rsidR="00053BC3" w:rsidRDefault="00053BC3" w:rsidP="00053BC3">
      <w:pPr>
        <w:numPr>
          <w:ilvl w:val="0"/>
          <w:numId w:val="6"/>
        </w:numPr>
        <w:spacing w:beforeAutospacing="1" w:after="0" w:afterAutospacing="1"/>
      </w:pPr>
      <w:r>
        <w:rPr>
          <w:b/>
          <w:bCs/>
        </w:rPr>
        <w:t>Sexual harm</w:t>
      </w:r>
      <w:r>
        <w:t xml:space="preserve"> (including sexual assault, unwanted touching, sexual exploitation).</w:t>
      </w:r>
    </w:p>
    <w:p w14:paraId="0DA74BA7" w14:textId="7B991C32" w:rsidR="00053BC3" w:rsidRDefault="7E232F2A" w:rsidP="6B9075A0">
      <w:pPr>
        <w:numPr>
          <w:ilvl w:val="0"/>
          <w:numId w:val="6"/>
        </w:numPr>
        <w:spacing w:beforeAutospacing="1" w:after="0" w:afterAutospacing="1"/>
      </w:pPr>
      <w:r w:rsidRPr="6B9075A0">
        <w:rPr>
          <w:b/>
          <w:bCs/>
        </w:rPr>
        <w:t>Financial harm</w:t>
      </w:r>
      <w:r>
        <w:t xml:space="preserve"> (including theft, fraud, pressure in connection with money, </w:t>
      </w:r>
      <w:r w:rsidR="1FC87AC2">
        <w:t>benefits,</w:t>
      </w:r>
      <w:r>
        <w:t xml:space="preserve"> or tenancy).</w:t>
      </w:r>
    </w:p>
    <w:p w14:paraId="660DF133" w14:textId="24DECE4F" w:rsidR="00053BC3" w:rsidRDefault="7E232F2A" w:rsidP="6B9075A0">
      <w:pPr>
        <w:numPr>
          <w:ilvl w:val="0"/>
          <w:numId w:val="6"/>
        </w:numPr>
        <w:spacing w:beforeAutospacing="1" w:after="0" w:afterAutospacing="1"/>
      </w:pPr>
      <w:r w:rsidRPr="6B9075A0">
        <w:rPr>
          <w:b/>
          <w:bCs/>
        </w:rPr>
        <w:t>Neglect and acts of omission</w:t>
      </w:r>
      <w:r>
        <w:t xml:space="preserve"> (including failure to provide appropriate care, </w:t>
      </w:r>
      <w:r w:rsidR="650B463D">
        <w:t>support,</w:t>
      </w:r>
      <w:r>
        <w:t xml:space="preserve"> or access to services).</w:t>
      </w:r>
    </w:p>
    <w:p w14:paraId="3FEB1FD2" w14:textId="77777777" w:rsidR="00053BC3" w:rsidRDefault="00053BC3" w:rsidP="00053BC3">
      <w:pPr>
        <w:numPr>
          <w:ilvl w:val="0"/>
          <w:numId w:val="6"/>
        </w:numPr>
        <w:spacing w:beforeAutospacing="1" w:after="0" w:afterAutospacing="1"/>
      </w:pPr>
      <w:r>
        <w:rPr>
          <w:b/>
          <w:bCs/>
        </w:rPr>
        <w:t>Discriminatory harm</w:t>
      </w:r>
      <w:r>
        <w:t xml:space="preserve"> (including harassment related to protected characteristics).</w:t>
      </w:r>
    </w:p>
    <w:p w14:paraId="3A30A384" w14:textId="20EF7B68" w:rsidR="00053BC3" w:rsidRPr="00F1490E" w:rsidRDefault="00053BC3" w:rsidP="00053BC3">
      <w:pPr>
        <w:numPr>
          <w:ilvl w:val="0"/>
          <w:numId w:val="6"/>
        </w:numPr>
        <w:spacing w:beforeAutospacing="1" w:after="0" w:afterAutospacing="1"/>
        <w:rPr>
          <w:b/>
          <w:bCs/>
        </w:rPr>
      </w:pPr>
      <w:r>
        <w:rPr>
          <w:b/>
          <w:bCs/>
        </w:rPr>
        <w:t xml:space="preserve">Domestic </w:t>
      </w:r>
      <w:r w:rsidRPr="00F1490E">
        <w:rPr>
          <w:b/>
          <w:bCs/>
        </w:rPr>
        <w:t xml:space="preserve">abuse </w:t>
      </w:r>
      <w:r w:rsidR="00F1490E" w:rsidRPr="00F1490E">
        <w:rPr>
          <w:b/>
          <w:bCs/>
        </w:rPr>
        <w:t>including C</w:t>
      </w:r>
      <w:r w:rsidRPr="00F1490E">
        <w:rPr>
          <w:b/>
          <w:bCs/>
        </w:rPr>
        <w:t>oercive control</w:t>
      </w:r>
      <w:r w:rsidR="00F1490E">
        <w:rPr>
          <w:b/>
          <w:bCs/>
        </w:rPr>
        <w:t xml:space="preserve"> </w:t>
      </w:r>
      <w:r w:rsidR="00F1490E">
        <w:t>(For fu</w:t>
      </w:r>
      <w:r w:rsidR="00C70291">
        <w:t>rther information please refer to the Association’s Domestic Abuse Policy)</w:t>
      </w:r>
    </w:p>
    <w:p w14:paraId="76FDCBD4" w14:textId="77777777" w:rsidR="00053BC3" w:rsidRDefault="00053BC3" w:rsidP="00053BC3">
      <w:pPr>
        <w:numPr>
          <w:ilvl w:val="0"/>
          <w:numId w:val="6"/>
        </w:numPr>
        <w:spacing w:beforeAutospacing="1" w:after="0" w:afterAutospacing="1"/>
      </w:pPr>
      <w:r>
        <w:rPr>
          <w:b/>
          <w:bCs/>
        </w:rPr>
        <w:t>Self-neglect</w:t>
      </w:r>
      <w:r>
        <w:t xml:space="preserve"> (where this significantly threatens health or wellbeing).</w:t>
      </w:r>
    </w:p>
    <w:p w14:paraId="792AF9DF" w14:textId="3B3C8110" w:rsidR="00CB0247" w:rsidRDefault="10C8420E">
      <w:pPr>
        <w:rPr>
          <w:lang w:eastAsia="en-GB"/>
        </w:rPr>
      </w:pPr>
      <w:r w:rsidRPr="6B9075A0">
        <w:rPr>
          <w:b/>
          <w:bCs/>
        </w:rPr>
        <w:t>Cuckooing (home takeover)</w:t>
      </w:r>
      <w:r w:rsidR="00CB0247">
        <w:br/>
      </w:r>
      <w:r>
        <w:t xml:space="preserve">Cuckooing is a form of criminal exploitation where a person’s home is taken over or used by others for criminal or harmful purposes through coercion, control, intimidation, </w:t>
      </w:r>
      <w:r w:rsidR="437743B6">
        <w:t>grooming,</w:t>
      </w:r>
      <w:r>
        <w:t xml:space="preserve"> or manipulation. The Association recognises that cuckooing can affect people across all communities and wishes to acknowledge that our communities may </w:t>
      </w:r>
      <w:r>
        <w:lastRenderedPageBreak/>
        <w:t xml:space="preserve">also be impacted by this. Where we become aware of concerns about cuckooing, we will respond in line with this policy, work with relevant partner agencies, provide appropriate support, and take proportionate action where required to help the tenant remain safe and able to live in their home without fear </w:t>
      </w:r>
      <w:r w:rsidR="62C26C4E">
        <w:t>of</w:t>
      </w:r>
      <w:r>
        <w:t xml:space="preserve"> retribution.</w:t>
      </w:r>
    </w:p>
    <w:p w14:paraId="6692A1A0" w14:textId="77777777" w:rsidR="00053BC3" w:rsidRDefault="00053BC3" w:rsidP="00053BC3">
      <w:r>
        <w:rPr>
          <w:b/>
          <w:bCs/>
        </w:rPr>
        <w:t>Possible indicators</w:t>
      </w:r>
      <w:r>
        <w:br/>
        <w:t>Indicators will vary depending on the adult, their circumstances and support needs. Signs may include unexplained injuries, changes in behaviour, increased anxiety, withdrawal, unusual financial activity, deterioration in living conditions, malnutrition, lack of access to medication, fear of particular people, or reluctance to engage when someone else is present. These indicators do not necessarily mean harm is occurring, but they may suggest concerns that should be explored and recorded.</w:t>
      </w:r>
    </w:p>
    <w:p w14:paraId="64455EB2" w14:textId="77777777" w:rsidR="00053BC3" w:rsidRPr="00FC0C1C" w:rsidRDefault="00053BC3">
      <w:pPr>
        <w:pStyle w:val="Heading1"/>
        <w:rPr>
          <w:b/>
          <w:bCs/>
          <w:color w:val="auto"/>
          <w:sz w:val="24"/>
          <w:szCs w:val="24"/>
          <w:lang w:eastAsia="en-GB"/>
        </w:rPr>
      </w:pPr>
      <w:r w:rsidRPr="00FC0C1C">
        <w:rPr>
          <w:b/>
          <w:bCs/>
          <w:color w:val="auto"/>
          <w:sz w:val="24"/>
          <w:szCs w:val="24"/>
        </w:rPr>
        <w:t>6. Reporting concerns</w:t>
      </w:r>
    </w:p>
    <w:p w14:paraId="3A2DCCFF" w14:textId="77777777" w:rsidR="00053BC3" w:rsidRDefault="00053BC3" w:rsidP="00053BC3">
      <w:r>
        <w:t xml:space="preserve">If you believe an adult is at immediate risk of serious harm, you must contact </w:t>
      </w:r>
      <w:r>
        <w:rPr>
          <w:b/>
          <w:bCs/>
        </w:rPr>
        <w:t>Police Scotland on 999</w:t>
      </w:r>
      <w:r>
        <w:t>. If the concern is not an emergency, it should be reported without delay in line with this policy and the Association’s supporting procedures.</w:t>
      </w:r>
    </w:p>
    <w:p w14:paraId="7036D879" w14:textId="77777777" w:rsidR="00053BC3" w:rsidRDefault="00053BC3" w:rsidP="00053BC3">
      <w:r>
        <w:t>In all cases staff should:</w:t>
      </w:r>
    </w:p>
    <w:p w14:paraId="180AD09F" w14:textId="35E60C73" w:rsidR="00053BC3" w:rsidRDefault="7E232F2A" w:rsidP="6B9075A0">
      <w:pPr>
        <w:numPr>
          <w:ilvl w:val="0"/>
          <w:numId w:val="14"/>
        </w:numPr>
        <w:spacing w:beforeAutospacing="1" w:after="0" w:afterAutospacing="1"/>
        <w:rPr>
          <w:lang w:eastAsia="en-GB"/>
        </w:rPr>
      </w:pPr>
      <w:r>
        <w:t xml:space="preserve">Inform your line manager as soon as possible and provide an accurate account of what you have seen, </w:t>
      </w:r>
      <w:r w:rsidR="527EFCA5">
        <w:t>heard,</w:t>
      </w:r>
      <w:r>
        <w:t xml:space="preserve"> or been told.</w:t>
      </w:r>
    </w:p>
    <w:p w14:paraId="71F2113E" w14:textId="77777777" w:rsidR="00053BC3" w:rsidRDefault="00053BC3" w:rsidP="00053BC3">
      <w:pPr>
        <w:numPr>
          <w:ilvl w:val="0"/>
          <w:numId w:val="14"/>
        </w:numPr>
        <w:spacing w:beforeAutospacing="1" w:after="0" w:afterAutospacing="1"/>
      </w:pPr>
      <w:r>
        <w:t>Make a clear written record (facts, dates/times, what was said, any actions taken) in line with the Association’s recording procedures.</w:t>
      </w:r>
    </w:p>
    <w:p w14:paraId="6E8C5B2D" w14:textId="77777777" w:rsidR="00053BC3" w:rsidRDefault="00053BC3" w:rsidP="00053BC3">
      <w:pPr>
        <w:numPr>
          <w:ilvl w:val="0"/>
          <w:numId w:val="14"/>
        </w:numPr>
        <w:spacing w:beforeAutospacing="1" w:after="0" w:afterAutospacing="1"/>
      </w:pPr>
      <w:r>
        <w:t>Do not promise confidentiality. Explain that information may need to be shared to help keep people safe.</w:t>
      </w:r>
    </w:p>
    <w:p w14:paraId="1992BDAB" w14:textId="77777777" w:rsidR="00053BC3" w:rsidRDefault="00053BC3" w:rsidP="00053BC3">
      <w:pPr>
        <w:numPr>
          <w:ilvl w:val="0"/>
          <w:numId w:val="14"/>
        </w:numPr>
        <w:spacing w:beforeAutospacing="1" w:after="0" w:afterAutospacing="1"/>
      </w:pPr>
      <w:r>
        <w:t>Do not investigate or interview the adult or any other person. Your role is to recognise, record and report.</w:t>
      </w:r>
    </w:p>
    <w:p w14:paraId="2D830763" w14:textId="77777777" w:rsidR="00053BC3" w:rsidRDefault="7E232F2A" w:rsidP="6B9075A0">
      <w:pPr>
        <w:numPr>
          <w:ilvl w:val="0"/>
          <w:numId w:val="14"/>
        </w:numPr>
        <w:spacing w:beforeAutospacing="1" w:after="0" w:afterAutospacing="1"/>
      </w:pPr>
      <w:r>
        <w:t xml:space="preserve">Work with your manager and the Designated Adult Protection </w:t>
      </w:r>
      <w:bookmarkStart w:id="2" w:name="_Int_VrKMUtrf"/>
      <w:proofErr w:type="gramStart"/>
      <w:r>
        <w:t>Lead</w:t>
      </w:r>
      <w:bookmarkEnd w:id="2"/>
      <w:proofErr w:type="gramEnd"/>
      <w:r>
        <w:t xml:space="preserve"> to determine whether a referral is required to the relevant local authority Adult Support and Protection team and/or other services.</w:t>
      </w:r>
    </w:p>
    <w:p w14:paraId="56826E4F" w14:textId="77777777" w:rsidR="00606853" w:rsidRDefault="00053BC3" w:rsidP="00C4133D">
      <w:r>
        <w:t>Where possible, staff should seek the adult’s consent before sharing information. However, information may be shared without consent where this is necessary to prevent serious harm, where others may be at risk, where a crime may have been committed, or where the adult lacks capacity to make an informed decision.</w:t>
      </w:r>
      <w:r w:rsidR="005F2431">
        <w:t xml:space="preserve"> </w:t>
      </w:r>
    </w:p>
    <w:p w14:paraId="401A80EA" w14:textId="77777777" w:rsidR="006F4F9A" w:rsidRPr="00183A9B" w:rsidRDefault="00FF352A" w:rsidP="00FF352A">
      <w:pPr>
        <w:ind w:firstLine="720"/>
        <w:rPr>
          <w:b/>
          <w:bCs/>
        </w:rPr>
      </w:pPr>
      <w:r w:rsidRPr="00183A9B">
        <w:rPr>
          <w:b/>
          <w:bCs/>
        </w:rPr>
        <w:t xml:space="preserve">Angus Council </w:t>
      </w:r>
    </w:p>
    <w:p w14:paraId="479B9C0A" w14:textId="77777777" w:rsidR="006F4F9A" w:rsidRDefault="006F4F9A" w:rsidP="00FF352A">
      <w:pPr>
        <w:ind w:firstLine="720"/>
      </w:pPr>
      <w:hyperlink r:id="rId6" w:history="1">
        <w:r>
          <w:rPr>
            <w:rStyle w:val="Hyperlink"/>
          </w:rPr>
          <w:t xml:space="preserve">Report an adult protection concern (HSCP) - Guidance - </w:t>
        </w:r>
        <w:proofErr w:type="spellStart"/>
        <w:r>
          <w:rPr>
            <w:rStyle w:val="Hyperlink"/>
          </w:rPr>
          <w:t>MyAngus</w:t>
        </w:r>
        <w:proofErr w:type="spellEnd"/>
      </w:hyperlink>
      <w:r w:rsidR="00FF352A">
        <w:tab/>
      </w:r>
    </w:p>
    <w:p w14:paraId="20741892" w14:textId="77777777" w:rsidR="006F4F9A" w:rsidRPr="00183A9B" w:rsidRDefault="006F4F9A" w:rsidP="00FF352A">
      <w:pPr>
        <w:ind w:firstLine="720"/>
        <w:rPr>
          <w:b/>
          <w:bCs/>
        </w:rPr>
      </w:pPr>
      <w:r w:rsidRPr="00183A9B">
        <w:rPr>
          <w:b/>
          <w:bCs/>
        </w:rPr>
        <w:t>Dundee City Council</w:t>
      </w:r>
    </w:p>
    <w:p w14:paraId="3DB909BC" w14:textId="65D94AA5" w:rsidR="00183A9B" w:rsidRPr="000C7995" w:rsidRDefault="00183A9B" w:rsidP="00183A9B">
      <w:pPr>
        <w:ind w:left="720"/>
        <w:rPr>
          <w:rFonts w:ascii="Aptos" w:hAnsi="Aptos"/>
        </w:rPr>
      </w:pPr>
      <w:r w:rsidRPr="000C7995">
        <w:rPr>
          <w:rFonts w:ascii="Aptos" w:hAnsi="Aptos" w:cs="Open Sans"/>
          <w:shd w:val="clear" w:color="auto" w:fill="FFFFFF"/>
        </w:rPr>
        <w:lastRenderedPageBreak/>
        <w:t>Dundee Health &amp; Social Care Partnership First Contact Team</w:t>
      </w:r>
      <w:r w:rsidRPr="000C7995">
        <w:rPr>
          <w:rFonts w:ascii="Aptos" w:hAnsi="Aptos" w:cs="Open Sans"/>
          <w:b/>
          <w:bCs/>
          <w:color w:val="333333"/>
        </w:rPr>
        <w:br/>
      </w:r>
      <w:r w:rsidRPr="000C7995">
        <w:rPr>
          <w:rFonts w:ascii="Aptos" w:hAnsi="Aptos" w:cs="Open Sans"/>
          <w:b/>
          <w:bCs/>
          <w:color w:val="333333"/>
          <w:shd w:val="clear" w:color="auto" w:fill="FFFFFF"/>
        </w:rPr>
        <w:t>Email: </w:t>
      </w:r>
      <w:hyperlink r:id="rId7" w:history="1">
        <w:r w:rsidRPr="000C7995">
          <w:rPr>
            <w:rStyle w:val="Hyperlink"/>
            <w:rFonts w:ascii="Aptos" w:hAnsi="Aptos" w:cs="Open Sans"/>
            <w:b/>
            <w:bCs/>
            <w:color w:val="23527C"/>
            <w:shd w:val="clear" w:color="auto" w:fill="FFFFFF"/>
          </w:rPr>
          <w:t>firstcontact.teamadmin@dundeecity.gov.uk</w:t>
        </w:r>
      </w:hyperlink>
      <w:r w:rsidRPr="000C7995">
        <w:rPr>
          <w:rFonts w:ascii="Aptos" w:hAnsi="Aptos" w:cs="Open Sans"/>
          <w:b/>
          <w:bCs/>
          <w:color w:val="333333"/>
        </w:rPr>
        <w:br/>
      </w:r>
      <w:r w:rsidRPr="000C7995">
        <w:rPr>
          <w:rFonts w:ascii="Aptos" w:hAnsi="Aptos" w:cs="Open Sans"/>
          <w:b/>
          <w:bCs/>
          <w:color w:val="333333"/>
          <w:shd w:val="clear" w:color="auto" w:fill="FFFFFF"/>
        </w:rPr>
        <w:t>Tel:</w:t>
      </w:r>
      <w:r w:rsidRPr="000C7995">
        <w:rPr>
          <w:rFonts w:ascii="Aptos" w:hAnsi="Aptos" w:cs="Open Sans"/>
          <w:shd w:val="clear" w:color="auto" w:fill="FFFFFF"/>
        </w:rPr>
        <w:t xml:space="preserve"> 01382 434019</w:t>
      </w:r>
    </w:p>
    <w:p w14:paraId="74F343C9" w14:textId="77777777" w:rsidR="00596CA0" w:rsidRDefault="00596CA0">
      <w:pPr>
        <w:pStyle w:val="Heading1"/>
        <w:rPr>
          <w:rFonts w:cstheme="minorBidi"/>
          <w:lang w:eastAsia="en-GB"/>
        </w:rPr>
      </w:pPr>
      <w:r>
        <w:rPr>
          <w:rFonts w:cstheme="minorBidi"/>
          <w:b/>
          <w:bCs/>
          <w:color w:val="auto"/>
          <w:sz w:val="24"/>
          <w:szCs w:val="24"/>
        </w:rPr>
        <w:t>7. Court protection: banning orders</w:t>
      </w:r>
    </w:p>
    <w:p w14:paraId="548A1D2F" w14:textId="77777777" w:rsidR="00FB5385" w:rsidRDefault="00FB5385">
      <w:pPr>
        <w:rPr>
          <w:lang w:eastAsia="en-GB"/>
        </w:rPr>
      </w:pPr>
      <w:r>
        <w:t xml:space="preserve">Under the </w:t>
      </w:r>
      <w:r>
        <w:rPr>
          <w:b/>
          <w:bCs/>
        </w:rPr>
        <w:t>Adult Support and Protection (Scotland) Act 2007</w:t>
      </w:r>
      <w:r>
        <w:t xml:space="preserve">, where an adult is at risk of harm, an application may be made to the sheriff court for a </w:t>
      </w:r>
      <w:r>
        <w:rPr>
          <w:b/>
          <w:bCs/>
        </w:rPr>
        <w:t>banning order</w:t>
      </w:r>
      <w:r>
        <w:t xml:space="preserve"> or, in urgent circumstances, a </w:t>
      </w:r>
      <w:r>
        <w:rPr>
          <w:b/>
          <w:bCs/>
        </w:rPr>
        <w:t>temporary banning order</w:t>
      </w:r>
      <w:r>
        <w:t>. These orders are intended to help protect the adult by preventing a person who is causing, or is likely to cause, harm from entering the adult’s home or other specified premises. The court may also attach additional conditions where this is considered necessary to support the adult’s safety and wellbeing.</w:t>
      </w:r>
    </w:p>
    <w:p w14:paraId="5CE35E33" w14:textId="77777777" w:rsidR="00FB5385" w:rsidRDefault="00FB5385">
      <w:pPr>
        <w:rPr>
          <w:lang w:eastAsia="en-GB"/>
        </w:rPr>
      </w:pPr>
      <w:r>
        <w:t>Where a tenant wishes to pursue this type of protection, the Association will work with the tenant and relevant partner agencies, such as the local authority Adult Support and Protection team and Police Scotland, to support them through the process. This may include helping the tenant to understand the protective measures and support arrangements that may be appropriate in their individual circumstances, including legal remedies, immediate safety planning, and access to specialist services. The purpose of this support is to help reduce risk, prevent further harm, and enable the tenant to make informed decisions about their safety and housing situation. It may also include signposting or referring the tenant to independent advocacy, legal advice, and other relevant support services, as well as sharing information appropriately and lawfully with partner agencies in accordance with confidentiality and information-sharing requirements.</w:t>
      </w:r>
    </w:p>
    <w:p w14:paraId="380C536D" w14:textId="77777777" w:rsidR="00596CA0" w:rsidRDefault="00596CA0" w:rsidP="00596CA0">
      <w:pPr>
        <w:pStyle w:val="Heading1"/>
        <w:rPr>
          <w:rFonts w:cstheme="minorBidi"/>
          <w:lang w:eastAsia="en-GB"/>
        </w:rPr>
      </w:pPr>
      <w:r>
        <w:rPr>
          <w:rFonts w:cstheme="minorBidi"/>
          <w:b/>
          <w:bCs/>
          <w:color w:val="auto"/>
          <w:sz w:val="24"/>
          <w:szCs w:val="24"/>
        </w:rPr>
        <w:t>8. Independent support and advocacy</w:t>
      </w:r>
    </w:p>
    <w:p w14:paraId="7DE534D8" w14:textId="5D539678" w:rsidR="002E5936" w:rsidRDefault="6D483A2D">
      <w:pPr>
        <w:rPr>
          <w:lang w:eastAsia="en-GB"/>
        </w:rPr>
      </w:pPr>
      <w:r>
        <w:t xml:space="preserve">Adults who may be at risk of harm should be supported to understand information, express their </w:t>
      </w:r>
      <w:r w:rsidR="2EF4F62B">
        <w:t>views,</w:t>
      </w:r>
      <w:r>
        <w:t xml:space="preserve"> and participate in decisions that affect them. Where appropriate, this includes access to </w:t>
      </w:r>
      <w:r w:rsidRPr="6B9075A0">
        <w:rPr>
          <w:b/>
          <w:bCs/>
        </w:rPr>
        <w:t>independent support and advocacy</w:t>
      </w:r>
      <w:r>
        <w:t xml:space="preserve"> in line with relevant Scottish legislation and guidance (including the </w:t>
      </w:r>
      <w:r w:rsidRPr="6B9075A0">
        <w:rPr>
          <w:b/>
          <w:bCs/>
        </w:rPr>
        <w:t>Adult Support and Protection (Scotland) Act 2007</w:t>
      </w:r>
      <w:r>
        <w:t xml:space="preserve">, the </w:t>
      </w:r>
      <w:r w:rsidRPr="6B9075A0">
        <w:rPr>
          <w:b/>
          <w:bCs/>
        </w:rPr>
        <w:t>Adults with Incapacity (Scotland) Act 2000</w:t>
      </w:r>
      <w:r>
        <w:t xml:space="preserve">, and the </w:t>
      </w:r>
      <w:r w:rsidRPr="6B9075A0">
        <w:rPr>
          <w:b/>
          <w:bCs/>
        </w:rPr>
        <w:t>Mental Health (Care and Treatment) (Scotland) Act 2003</w:t>
      </w:r>
      <w:r>
        <w:t>).</w:t>
      </w:r>
    </w:p>
    <w:p w14:paraId="539DE085" w14:textId="3F010919" w:rsidR="002E5936" w:rsidRDefault="6D483A2D">
      <w:pPr>
        <w:rPr>
          <w:lang w:eastAsia="en-GB"/>
        </w:rPr>
      </w:pPr>
      <w:r>
        <w:t xml:space="preserve">Angus Housing Association staff should promote the adult’s rights, </w:t>
      </w:r>
      <w:r w:rsidR="74960FE9">
        <w:t>choice,</w:t>
      </w:r>
      <w:r>
        <w:t xml:space="preserve"> and involvement, and consider advocacy particularly where there are significant decisions to be made, where the adult finds it difficult to communicate their wishes, or where there are questions about capacity or undue influence. Wherever possible, any advocacy involvement should be based on the adult’s views and consent (unless this would increase risk).</w:t>
      </w:r>
    </w:p>
    <w:p w14:paraId="67070FF5" w14:textId="77777777" w:rsidR="002E5936" w:rsidRDefault="002E5936" w:rsidP="002E5936">
      <w:pPr>
        <w:pStyle w:val="ListParagraph"/>
        <w:numPr>
          <w:ilvl w:val="0"/>
          <w:numId w:val="15"/>
        </w:numPr>
      </w:pPr>
      <w:r>
        <w:lastRenderedPageBreak/>
        <w:t>Consider recommending or signposting advocacy where the adult has difficulty understanding information, communicating decisions, weighing up options, or feels unable to speak up.</w:t>
      </w:r>
    </w:p>
    <w:p w14:paraId="14FC1A40" w14:textId="77777777" w:rsidR="002E5936" w:rsidRDefault="002E5936" w:rsidP="002E5936">
      <w:pPr>
        <w:pStyle w:val="ListParagraph"/>
        <w:numPr>
          <w:ilvl w:val="0"/>
          <w:numId w:val="15"/>
        </w:numPr>
      </w:pPr>
      <w:r>
        <w:t>Where the adult agrees, support them to contact an appropriate advocacy service or to involve a trusted person to assist them (as the adult chooses).</w:t>
      </w:r>
    </w:p>
    <w:p w14:paraId="2687C079" w14:textId="6BE385F5" w:rsidR="002E5936" w:rsidRDefault="6D483A2D" w:rsidP="002E5936">
      <w:pPr>
        <w:pStyle w:val="ListParagraph"/>
        <w:numPr>
          <w:ilvl w:val="0"/>
          <w:numId w:val="15"/>
        </w:numPr>
      </w:pPr>
      <w:r>
        <w:t xml:space="preserve">Record any advocacy wishes and arrangements as part of the safeguarding </w:t>
      </w:r>
      <w:r w:rsidR="0178BBF0">
        <w:t>record and</w:t>
      </w:r>
      <w:r>
        <w:t xml:space="preserve"> take account of the advocate’s involvement in ongoing communication (in line with confidentiality and information sharing requirements).</w:t>
      </w:r>
    </w:p>
    <w:p w14:paraId="7F64162D" w14:textId="77777777" w:rsidR="00596CA0" w:rsidRDefault="00596CA0" w:rsidP="00596CA0">
      <w:pPr>
        <w:pStyle w:val="Heading1"/>
        <w:rPr>
          <w:rFonts w:cstheme="minorBidi"/>
          <w:lang w:eastAsia="en-GB"/>
        </w:rPr>
      </w:pPr>
      <w:r>
        <w:rPr>
          <w:rFonts w:cstheme="minorBidi"/>
          <w:b/>
          <w:bCs/>
          <w:color w:val="auto"/>
          <w:sz w:val="24"/>
          <w:szCs w:val="24"/>
        </w:rPr>
        <w:t>9. Designated Adult Protection Lead</w:t>
      </w:r>
    </w:p>
    <w:p w14:paraId="7C72C75B" w14:textId="77777777" w:rsidR="00053BC3" w:rsidRDefault="00053BC3" w:rsidP="00053BC3">
      <w:r>
        <w:t>The Association has a Designated Adult Protection Lead (DAPL) and recognises that having a named person is good practice to ensure concerns are responded to consistently and that themes/trends can be monitored.</w:t>
      </w:r>
    </w:p>
    <w:p w14:paraId="7E584627" w14:textId="77777777" w:rsidR="00053BC3" w:rsidRDefault="00053BC3" w:rsidP="00053BC3">
      <w:r>
        <w:t>In the first instance, staff should raise and report concerns to their line manager who will be responsible for ensuring the correct procedures are followed. Staff and line managers are responsible for keeping clear records and advising the Designated Adult Protection Lead of all concerns raised.</w:t>
      </w:r>
    </w:p>
    <w:tbl>
      <w:tblPr>
        <w:tblW w:w="8225" w:type="dxa"/>
        <w:tblCellSpacing w:w="15" w:type="dxa"/>
        <w:tblCellMar>
          <w:top w:w="15" w:type="dxa"/>
          <w:left w:w="15" w:type="dxa"/>
          <w:bottom w:w="15" w:type="dxa"/>
          <w:right w:w="15" w:type="dxa"/>
        </w:tblCellMar>
        <w:tblLook w:val="04A0" w:firstRow="1" w:lastRow="0" w:firstColumn="1" w:lastColumn="0" w:noHBand="0" w:noVBand="1"/>
      </w:tblPr>
      <w:tblGrid>
        <w:gridCol w:w="2212"/>
        <w:gridCol w:w="3340"/>
        <w:gridCol w:w="1187"/>
        <w:gridCol w:w="1486"/>
      </w:tblGrid>
      <w:tr w:rsidR="00053BC3" w:rsidRPr="00183A9B" w14:paraId="6EECC722" w14:textId="77777777" w:rsidTr="6B9075A0">
        <w:trPr>
          <w:tblCellSpacing w:w="15" w:type="dxa"/>
        </w:trPr>
        <w:tc>
          <w:tcPr>
            <w:tcW w:w="2258" w:type="dxa"/>
            <w:vAlign w:val="center"/>
            <w:hideMark/>
          </w:tcPr>
          <w:p w14:paraId="63425CD8" w14:textId="77777777" w:rsidR="00053BC3" w:rsidRPr="00183A9B" w:rsidRDefault="00053BC3">
            <w:pPr>
              <w:rPr>
                <w:rFonts w:ascii="Aptos" w:hAnsi="Aptos" w:cs="Times New Roman"/>
                <w:lang w:eastAsia="en-GB"/>
              </w:rPr>
            </w:pPr>
            <w:r w:rsidRPr="00183A9B">
              <w:rPr>
                <w:rFonts w:ascii="Aptos" w:hAnsi="Aptos" w:cs="Times New Roman"/>
                <w:b/>
                <w:bCs/>
              </w:rPr>
              <w:t>Designated Adult Protection Lead</w:t>
            </w:r>
          </w:p>
        </w:tc>
        <w:tc>
          <w:tcPr>
            <w:tcW w:w="3726" w:type="dxa"/>
            <w:vAlign w:val="center"/>
            <w:hideMark/>
          </w:tcPr>
          <w:p w14:paraId="03F0A97B" w14:textId="454C5F42" w:rsidR="00053BC3" w:rsidRPr="00183A9B" w:rsidRDefault="00053BC3">
            <w:pPr>
              <w:rPr>
                <w:rFonts w:ascii="Aptos" w:hAnsi="Aptos" w:cs="Times New Roman"/>
              </w:rPr>
            </w:pPr>
            <w:r w:rsidRPr="00183A9B">
              <w:rPr>
                <w:rFonts w:ascii="Aptos" w:hAnsi="Aptos" w:cs="Times New Roman"/>
              </w:rPr>
              <w:t xml:space="preserve">Tenant Engagement </w:t>
            </w:r>
            <w:r w:rsidR="00183A9B">
              <w:rPr>
                <w:rFonts w:ascii="Aptos" w:hAnsi="Aptos" w:cs="Times New Roman"/>
              </w:rPr>
              <w:t>Team Leader</w:t>
            </w:r>
          </w:p>
        </w:tc>
        <w:tc>
          <w:tcPr>
            <w:tcW w:w="1208" w:type="dxa"/>
            <w:vAlign w:val="center"/>
            <w:hideMark/>
          </w:tcPr>
          <w:p w14:paraId="42A29373" w14:textId="77777777" w:rsidR="00053BC3" w:rsidRPr="00183A9B" w:rsidRDefault="00053BC3">
            <w:pPr>
              <w:rPr>
                <w:rFonts w:ascii="Aptos" w:hAnsi="Aptos" w:cs="Times New Roman"/>
              </w:rPr>
            </w:pPr>
            <w:r w:rsidRPr="00183A9B">
              <w:rPr>
                <w:rFonts w:ascii="Aptos" w:hAnsi="Aptos" w:cs="Times New Roman"/>
                <w:b/>
                <w:bCs/>
              </w:rPr>
              <w:t>Contact</w:t>
            </w:r>
          </w:p>
        </w:tc>
        <w:tc>
          <w:tcPr>
            <w:tcW w:w="1033" w:type="dxa"/>
            <w:vAlign w:val="center"/>
            <w:hideMark/>
          </w:tcPr>
          <w:p w14:paraId="71FF6C5B" w14:textId="77777777" w:rsidR="00053BC3" w:rsidRPr="00183A9B" w:rsidRDefault="00053BC3">
            <w:pPr>
              <w:rPr>
                <w:rFonts w:ascii="Aptos" w:hAnsi="Aptos" w:cs="Times New Roman"/>
              </w:rPr>
            </w:pPr>
            <w:r w:rsidRPr="00183A9B">
              <w:rPr>
                <w:rFonts w:ascii="Aptos" w:hAnsi="Aptos" w:cs="Times New Roman"/>
              </w:rPr>
              <w:t>07850910680</w:t>
            </w:r>
          </w:p>
        </w:tc>
      </w:tr>
      <w:tr w:rsidR="00053BC3" w:rsidRPr="00183A9B" w14:paraId="3E72D9CE" w14:textId="77777777" w:rsidTr="6B9075A0">
        <w:trPr>
          <w:tblCellSpacing w:w="15" w:type="dxa"/>
        </w:trPr>
        <w:tc>
          <w:tcPr>
            <w:tcW w:w="2258" w:type="dxa"/>
            <w:vAlign w:val="center"/>
            <w:hideMark/>
          </w:tcPr>
          <w:p w14:paraId="0CA048BC" w14:textId="74DB30CE" w:rsidR="00053BC3" w:rsidRPr="00183A9B" w:rsidRDefault="00053BC3">
            <w:pPr>
              <w:rPr>
                <w:rFonts w:ascii="Aptos" w:hAnsi="Aptos" w:cs="Times New Roman"/>
              </w:rPr>
            </w:pPr>
            <w:r w:rsidRPr="00183A9B">
              <w:rPr>
                <w:rFonts w:ascii="Aptos" w:hAnsi="Aptos" w:cs="Times New Roman"/>
                <w:b/>
                <w:bCs/>
              </w:rPr>
              <w:t>Deputy/Second named person</w:t>
            </w:r>
          </w:p>
        </w:tc>
        <w:tc>
          <w:tcPr>
            <w:tcW w:w="3726" w:type="dxa"/>
            <w:vAlign w:val="center"/>
            <w:hideMark/>
          </w:tcPr>
          <w:p w14:paraId="7C12FEA1" w14:textId="77777777" w:rsidR="00053BC3" w:rsidRPr="00183A9B" w:rsidRDefault="00053BC3">
            <w:pPr>
              <w:rPr>
                <w:rFonts w:ascii="Aptos" w:hAnsi="Aptos" w:cs="Times New Roman"/>
              </w:rPr>
            </w:pPr>
            <w:r w:rsidRPr="00183A9B">
              <w:rPr>
                <w:rFonts w:ascii="Aptos" w:hAnsi="Aptos" w:cs="Times New Roman"/>
              </w:rPr>
              <w:t>Director of Housing Services</w:t>
            </w:r>
          </w:p>
        </w:tc>
        <w:tc>
          <w:tcPr>
            <w:tcW w:w="1208" w:type="dxa"/>
            <w:vAlign w:val="center"/>
            <w:hideMark/>
          </w:tcPr>
          <w:p w14:paraId="7FBF5860" w14:textId="77777777" w:rsidR="00053BC3" w:rsidRPr="00183A9B" w:rsidRDefault="00053BC3">
            <w:pPr>
              <w:rPr>
                <w:rFonts w:ascii="Aptos" w:hAnsi="Aptos" w:cs="Times New Roman"/>
              </w:rPr>
            </w:pPr>
            <w:r w:rsidRPr="00183A9B">
              <w:rPr>
                <w:rFonts w:ascii="Aptos" w:hAnsi="Aptos" w:cs="Times New Roman"/>
                <w:b/>
                <w:bCs/>
              </w:rPr>
              <w:t>Contact</w:t>
            </w:r>
          </w:p>
        </w:tc>
        <w:tc>
          <w:tcPr>
            <w:tcW w:w="1033" w:type="dxa"/>
            <w:vAlign w:val="center"/>
            <w:hideMark/>
          </w:tcPr>
          <w:p w14:paraId="6AAE5EAC" w14:textId="77777777" w:rsidR="00053BC3" w:rsidRPr="00183A9B" w:rsidRDefault="00053BC3">
            <w:pPr>
              <w:rPr>
                <w:rFonts w:ascii="Aptos" w:hAnsi="Aptos" w:cs="Times New Roman"/>
              </w:rPr>
            </w:pPr>
            <w:r w:rsidRPr="00183A9B">
              <w:rPr>
                <w:rFonts w:ascii="Aptos" w:hAnsi="Aptos" w:cs="Times New Roman"/>
              </w:rPr>
              <w:t>07794266873</w:t>
            </w:r>
          </w:p>
        </w:tc>
      </w:tr>
    </w:tbl>
    <w:p w14:paraId="2810DECB" w14:textId="7EF6D9DF" w:rsidR="00596CA0" w:rsidRDefault="36E24C66" w:rsidP="6B9075A0">
      <w:pPr>
        <w:pStyle w:val="Heading1"/>
        <w:rPr>
          <w:rFonts w:cstheme="minorBidi"/>
          <w:lang w:eastAsia="en-GB"/>
        </w:rPr>
      </w:pPr>
      <w:r w:rsidRPr="6B9075A0">
        <w:rPr>
          <w:rFonts w:cstheme="minorBidi"/>
          <w:b/>
          <w:bCs/>
          <w:color w:val="auto"/>
          <w:sz w:val="24"/>
          <w:szCs w:val="24"/>
        </w:rPr>
        <w:t xml:space="preserve">10. </w:t>
      </w:r>
      <w:r w:rsidR="0025705E" w:rsidRPr="00B549C5">
        <w:rPr>
          <w:rFonts w:cstheme="minorBidi"/>
          <w:b/>
          <w:bCs/>
          <w:color w:val="auto"/>
          <w:sz w:val="24"/>
          <w:szCs w:val="24"/>
        </w:rPr>
        <w:t>S</w:t>
      </w:r>
      <w:r w:rsidRPr="00B549C5">
        <w:rPr>
          <w:rFonts w:cstheme="minorBidi"/>
          <w:b/>
          <w:bCs/>
          <w:color w:val="auto"/>
          <w:sz w:val="24"/>
          <w:szCs w:val="24"/>
        </w:rPr>
        <w:t>haring</w:t>
      </w:r>
      <w:r w:rsidR="0025705E" w:rsidRPr="00B549C5">
        <w:rPr>
          <w:rFonts w:cstheme="minorBidi"/>
          <w:b/>
          <w:bCs/>
          <w:color w:val="auto"/>
          <w:sz w:val="24"/>
          <w:szCs w:val="24"/>
        </w:rPr>
        <w:t xml:space="preserve"> Information Saf</w:t>
      </w:r>
      <w:r w:rsidR="00B549C5" w:rsidRPr="00B549C5">
        <w:rPr>
          <w:rFonts w:cstheme="minorBidi"/>
          <w:b/>
          <w:bCs/>
          <w:color w:val="auto"/>
          <w:sz w:val="24"/>
          <w:szCs w:val="24"/>
        </w:rPr>
        <w:t>ely and Lawfully</w:t>
      </w:r>
    </w:p>
    <w:p w14:paraId="55ADD833" w14:textId="77777777" w:rsidR="00053BC3" w:rsidRDefault="00053BC3" w:rsidP="00053BC3">
      <w:r>
        <w:t xml:space="preserve">There is a clear requirement across agencies to co-operate in relation to the protection of adults who may be at risk of harm. To ensure appropriate protective measures can be put in place, it is recognised that personal information may need to be shared with managers and partner agencies on a </w:t>
      </w:r>
      <w:r>
        <w:rPr>
          <w:b/>
          <w:bCs/>
        </w:rPr>
        <w:t>need-to-know</w:t>
      </w:r>
      <w:r>
        <w:t xml:space="preserve"> basis and in line with data protection legislation.</w:t>
      </w:r>
    </w:p>
    <w:p w14:paraId="2710CA8F" w14:textId="77777777" w:rsidR="00053BC3" w:rsidRDefault="00053BC3" w:rsidP="00053BC3">
      <w:r>
        <w:t>Whilst confidentiality should be respected, safeguarding concerns may override a request for confidentiality where sharing information is necessary to protect the adult or others from harm. No guarantees of confidentiality should be given in adult protection cases.</w:t>
      </w:r>
    </w:p>
    <w:p w14:paraId="4CF1EBA9" w14:textId="77777777" w:rsidR="00596CA0" w:rsidRDefault="00596CA0" w:rsidP="00596CA0">
      <w:pPr>
        <w:pStyle w:val="Heading1"/>
        <w:rPr>
          <w:rFonts w:cstheme="minorBidi"/>
          <w:lang w:eastAsia="en-GB"/>
        </w:rPr>
      </w:pPr>
      <w:r>
        <w:rPr>
          <w:rFonts w:cstheme="minorBidi"/>
          <w:b/>
          <w:bCs/>
          <w:color w:val="auto"/>
          <w:sz w:val="24"/>
          <w:szCs w:val="24"/>
        </w:rPr>
        <w:t>11. Equal opportunities</w:t>
      </w:r>
    </w:p>
    <w:p w14:paraId="6BDB6A76" w14:textId="77777777" w:rsidR="00053BC3" w:rsidRDefault="00053BC3" w:rsidP="00053BC3">
      <w:r>
        <w:t xml:space="preserve">In developing and implementing policies covering all aspects of our work, Angus Housing Association will ensure that our strong principles and commitment to equality </w:t>
      </w:r>
      <w:r>
        <w:lastRenderedPageBreak/>
        <w:t>of opportunity are evident. The Association takes account of all applicable legislation, including the Equality Act 2010 and relevant Codes of Practice issued by the Equality and Human Rights Commission.</w:t>
      </w:r>
    </w:p>
    <w:p w14:paraId="4BC7E602" w14:textId="77777777" w:rsidR="00053BC3" w:rsidRDefault="00053BC3" w:rsidP="00053BC3">
      <w:pPr>
        <w:numPr>
          <w:ilvl w:val="0"/>
          <w:numId w:val="8"/>
        </w:numPr>
        <w:spacing w:beforeAutospacing="1" w:after="0" w:afterAutospacing="1"/>
        <w:rPr>
          <w:lang w:eastAsia="en-GB"/>
        </w:rPr>
      </w:pPr>
      <w:r>
        <w:t>Age</w:t>
      </w:r>
    </w:p>
    <w:p w14:paraId="4ECFAB59" w14:textId="77777777" w:rsidR="00053BC3" w:rsidRDefault="00053BC3" w:rsidP="00053BC3">
      <w:pPr>
        <w:numPr>
          <w:ilvl w:val="0"/>
          <w:numId w:val="8"/>
        </w:numPr>
        <w:spacing w:beforeAutospacing="1" w:after="0" w:afterAutospacing="1"/>
      </w:pPr>
      <w:r>
        <w:t>Disability</w:t>
      </w:r>
    </w:p>
    <w:p w14:paraId="0FED6042" w14:textId="77777777" w:rsidR="00053BC3" w:rsidRDefault="00053BC3" w:rsidP="00053BC3">
      <w:pPr>
        <w:numPr>
          <w:ilvl w:val="0"/>
          <w:numId w:val="8"/>
        </w:numPr>
        <w:spacing w:beforeAutospacing="1" w:after="0" w:afterAutospacing="1"/>
      </w:pPr>
      <w:r>
        <w:t>Gender reassignment</w:t>
      </w:r>
    </w:p>
    <w:p w14:paraId="20927F2C" w14:textId="77777777" w:rsidR="00053BC3" w:rsidRDefault="00053BC3" w:rsidP="00053BC3">
      <w:pPr>
        <w:numPr>
          <w:ilvl w:val="0"/>
          <w:numId w:val="8"/>
        </w:numPr>
        <w:spacing w:beforeAutospacing="1" w:after="0" w:afterAutospacing="1"/>
      </w:pPr>
      <w:r>
        <w:t>Marriage and civil partnership</w:t>
      </w:r>
    </w:p>
    <w:p w14:paraId="2F25817E" w14:textId="77777777" w:rsidR="00053BC3" w:rsidRDefault="00053BC3" w:rsidP="00053BC3">
      <w:pPr>
        <w:numPr>
          <w:ilvl w:val="0"/>
          <w:numId w:val="8"/>
        </w:numPr>
        <w:spacing w:beforeAutospacing="1" w:after="0" w:afterAutospacing="1"/>
      </w:pPr>
      <w:r>
        <w:t>Pregnancy and maternity</w:t>
      </w:r>
    </w:p>
    <w:p w14:paraId="4CE595B1" w14:textId="77777777" w:rsidR="00053BC3" w:rsidRDefault="00053BC3" w:rsidP="00053BC3">
      <w:pPr>
        <w:numPr>
          <w:ilvl w:val="0"/>
          <w:numId w:val="8"/>
        </w:numPr>
        <w:spacing w:beforeAutospacing="1" w:after="0" w:afterAutospacing="1"/>
      </w:pPr>
      <w:r>
        <w:t>Race</w:t>
      </w:r>
    </w:p>
    <w:p w14:paraId="1EAC75C1" w14:textId="77777777" w:rsidR="00053BC3" w:rsidRDefault="00053BC3" w:rsidP="00053BC3">
      <w:pPr>
        <w:numPr>
          <w:ilvl w:val="0"/>
          <w:numId w:val="8"/>
        </w:numPr>
        <w:spacing w:beforeAutospacing="1" w:after="0" w:afterAutospacing="1"/>
      </w:pPr>
      <w:r>
        <w:t>Religion or belief</w:t>
      </w:r>
    </w:p>
    <w:p w14:paraId="592E2768" w14:textId="77777777" w:rsidR="00053BC3" w:rsidRDefault="00053BC3" w:rsidP="00053BC3">
      <w:pPr>
        <w:numPr>
          <w:ilvl w:val="0"/>
          <w:numId w:val="8"/>
        </w:numPr>
        <w:spacing w:beforeAutospacing="1" w:after="0" w:afterAutospacing="1"/>
      </w:pPr>
      <w:r>
        <w:t>Sex</w:t>
      </w:r>
    </w:p>
    <w:p w14:paraId="5AAAA6C2" w14:textId="77777777" w:rsidR="00053BC3" w:rsidRDefault="00053BC3" w:rsidP="00053BC3">
      <w:pPr>
        <w:numPr>
          <w:ilvl w:val="0"/>
          <w:numId w:val="8"/>
        </w:numPr>
        <w:spacing w:beforeAutospacing="1" w:after="0" w:afterAutospacing="1"/>
      </w:pPr>
      <w:r>
        <w:t>Sexual orientation</w:t>
      </w:r>
    </w:p>
    <w:p w14:paraId="75354FF2" w14:textId="77777777" w:rsidR="00596CA0" w:rsidRDefault="00596CA0" w:rsidP="00596CA0">
      <w:pPr>
        <w:pStyle w:val="Heading1"/>
        <w:rPr>
          <w:rFonts w:cstheme="minorBidi"/>
          <w:lang w:eastAsia="en-GB"/>
        </w:rPr>
      </w:pPr>
      <w:r>
        <w:rPr>
          <w:rFonts w:cstheme="minorBidi"/>
          <w:b/>
          <w:bCs/>
          <w:color w:val="auto"/>
          <w:sz w:val="24"/>
          <w:szCs w:val="24"/>
        </w:rPr>
        <w:t>12. Training</w:t>
      </w:r>
    </w:p>
    <w:p w14:paraId="791B9B52" w14:textId="77777777" w:rsidR="00053BC3" w:rsidRDefault="00053BC3" w:rsidP="00053BC3">
      <w:r>
        <w:t>The Association will ensure that all staff are aware of the Association’s duties in relation to adult support and protection and that staff complete appropriate safeguarding training. Training may differ depending on job role and the level of contact with tenants and other service users (for example, staff undertaking home visits).</w:t>
      </w:r>
    </w:p>
    <w:p w14:paraId="6C6DF41C" w14:textId="4B73F677" w:rsidR="00971E27" w:rsidRDefault="00971E27" w:rsidP="00053BC3">
      <w:r>
        <w:t>The Association will also</w:t>
      </w:r>
      <w:r w:rsidR="00230F4D">
        <w:t xml:space="preserve"> provide</w:t>
      </w:r>
      <w:r>
        <w:t xml:space="preserve"> bite size</w:t>
      </w:r>
      <w:r w:rsidR="00E13E19">
        <w:t>d</w:t>
      </w:r>
      <w:r>
        <w:t xml:space="preserve"> training for contractors</w:t>
      </w:r>
      <w:r w:rsidR="00E13E19">
        <w:t xml:space="preserve"> and</w:t>
      </w:r>
      <w:r w:rsidR="00230F4D">
        <w:t xml:space="preserve"> when requested </w:t>
      </w:r>
      <w:r w:rsidR="00914045">
        <w:t>more in depth training</w:t>
      </w:r>
      <w:r w:rsidR="0031777C">
        <w:t xml:space="preserve"> can be provided by the Association</w:t>
      </w:r>
      <w:r w:rsidR="00914045">
        <w:t>.</w:t>
      </w:r>
    </w:p>
    <w:p w14:paraId="034206FB" w14:textId="77777777" w:rsidR="00596CA0" w:rsidRDefault="00596CA0" w:rsidP="00596CA0">
      <w:pPr>
        <w:pStyle w:val="Heading1"/>
        <w:rPr>
          <w:rFonts w:cstheme="minorBidi"/>
          <w:lang w:eastAsia="en-GB"/>
        </w:rPr>
      </w:pPr>
      <w:r>
        <w:rPr>
          <w:rFonts w:cstheme="minorBidi"/>
          <w:b/>
          <w:bCs/>
          <w:color w:val="auto"/>
          <w:sz w:val="24"/>
          <w:szCs w:val="24"/>
        </w:rPr>
        <w:t>13. Complaints</w:t>
      </w:r>
    </w:p>
    <w:p w14:paraId="7F419B1B" w14:textId="77777777" w:rsidR="00053BC3" w:rsidRDefault="00053BC3" w:rsidP="00053BC3">
      <w:r>
        <w:t>Any tenant or service user may submit a complaint using the Association’s Complaints Policy if they feel the Association has failed to correctly apply this policy.</w:t>
      </w:r>
    </w:p>
    <w:p w14:paraId="304E8481" w14:textId="77777777" w:rsidR="00596CA0" w:rsidRDefault="00596CA0" w:rsidP="00596CA0">
      <w:pPr>
        <w:pStyle w:val="Heading1"/>
        <w:rPr>
          <w:rFonts w:cstheme="minorBidi"/>
          <w:lang w:eastAsia="en-GB"/>
        </w:rPr>
      </w:pPr>
      <w:r>
        <w:rPr>
          <w:rFonts w:cstheme="minorBidi"/>
          <w:b/>
          <w:bCs/>
          <w:color w:val="auto"/>
          <w:sz w:val="24"/>
          <w:szCs w:val="24"/>
        </w:rPr>
        <w:t>14. Policy review</w:t>
      </w:r>
    </w:p>
    <w:p w14:paraId="63E44A53" w14:textId="3A3D83EC" w:rsidR="00053BC3" w:rsidRDefault="00053BC3" w:rsidP="00053BC3">
      <w:r>
        <w:t xml:space="preserve">The Association will review the Adult Safeguarding &amp; Protection Policy </w:t>
      </w:r>
      <w:r w:rsidRPr="00926976">
        <w:t xml:space="preserve">in </w:t>
      </w:r>
      <w:r w:rsidR="00926976" w:rsidRPr="00926976">
        <w:t>May</w:t>
      </w:r>
      <w:r w:rsidRPr="00926976">
        <w:t xml:space="preserve"> 20</w:t>
      </w:r>
      <w:r w:rsidR="00926976" w:rsidRPr="00926976">
        <w:t>31</w:t>
      </w:r>
      <w:r w:rsidRPr="00926976">
        <w:t>,</w:t>
      </w:r>
      <w:r>
        <w:t xml:space="preserve"> or as required following a substantive legislative or regulatory change.</w:t>
      </w:r>
    </w:p>
    <w:p w14:paraId="4017C06B" w14:textId="77777777" w:rsidR="00053BC3" w:rsidRDefault="00053BC3"/>
    <w:sectPr w:rsidR="00053BC3" w:rsidSect="00053B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Monaco">
    <w:altName w:val="Courier New"/>
    <w:charset w:val="00"/>
    <w:family w:val="auto"/>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Yu Mincho">
    <w:charset w:val="80"/>
    <w:family w:val="roman"/>
    <w:pitch w:val="variable"/>
    <w:sig w:usb0="800002E7" w:usb1="2AC7FCFF" w:usb2="00000012" w:usb3="00000000" w:csb0="0002009F" w:csb1="00000000"/>
  </w:font>
  <w:font w:name="Open Sans">
    <w:altName w:val="Segoe UI"/>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11DA"/>
    <w:multiLevelType w:val="multilevel"/>
    <w:tmpl w:val="21121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114A01"/>
    <w:multiLevelType w:val="multilevel"/>
    <w:tmpl w:val="89F86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14AD6"/>
    <w:multiLevelType w:val="multilevel"/>
    <w:tmpl w:val="720A4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5E589C"/>
    <w:multiLevelType w:val="hybridMultilevel"/>
    <w:tmpl w:val="30069E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2794457"/>
    <w:multiLevelType w:val="multilevel"/>
    <w:tmpl w:val="EA8E1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011FBD"/>
    <w:multiLevelType w:val="multilevel"/>
    <w:tmpl w:val="B8F06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E749EE"/>
    <w:multiLevelType w:val="multilevel"/>
    <w:tmpl w:val="D5B4F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A86935"/>
    <w:multiLevelType w:val="multilevel"/>
    <w:tmpl w:val="BE52D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DA72C1"/>
    <w:multiLevelType w:val="multilevel"/>
    <w:tmpl w:val="6F7A0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D54240"/>
    <w:multiLevelType w:val="multilevel"/>
    <w:tmpl w:val="8E943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D57C13"/>
    <w:multiLevelType w:val="multilevel"/>
    <w:tmpl w:val="95BAA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635BC5"/>
    <w:multiLevelType w:val="multilevel"/>
    <w:tmpl w:val="C5F6F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8D3B53"/>
    <w:multiLevelType w:val="multilevel"/>
    <w:tmpl w:val="26340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030779"/>
    <w:multiLevelType w:val="hybridMultilevel"/>
    <w:tmpl w:val="019AB876"/>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3E32C64"/>
    <w:multiLevelType w:val="multilevel"/>
    <w:tmpl w:val="865E2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4757661"/>
    <w:multiLevelType w:val="multilevel"/>
    <w:tmpl w:val="741A6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A453B0"/>
    <w:multiLevelType w:val="multilevel"/>
    <w:tmpl w:val="B51A3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B0C4146"/>
    <w:multiLevelType w:val="hybridMultilevel"/>
    <w:tmpl w:val="D51053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3020B3"/>
    <w:multiLevelType w:val="hybridMultilevel"/>
    <w:tmpl w:val="1FB0107E"/>
    <w:lvl w:ilvl="0" w:tplc="2138B28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7DD9494F"/>
    <w:multiLevelType w:val="multilevel"/>
    <w:tmpl w:val="4412C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6893151">
    <w:abstractNumId w:val="14"/>
  </w:num>
  <w:num w:numId="2" w16cid:durableId="1196039155">
    <w:abstractNumId w:val="8"/>
  </w:num>
  <w:num w:numId="3" w16cid:durableId="1341855463">
    <w:abstractNumId w:val="1"/>
  </w:num>
  <w:num w:numId="4" w16cid:durableId="1376583992">
    <w:abstractNumId w:val="15"/>
  </w:num>
  <w:num w:numId="5" w16cid:durableId="1449396201">
    <w:abstractNumId w:val="19"/>
  </w:num>
  <w:num w:numId="6" w16cid:durableId="160507039">
    <w:abstractNumId w:val="4"/>
  </w:num>
  <w:num w:numId="7" w16cid:durableId="1678845946">
    <w:abstractNumId w:val="0"/>
  </w:num>
  <w:num w:numId="8" w16cid:durableId="1731921829">
    <w:abstractNumId w:val="12"/>
  </w:num>
  <w:num w:numId="9" w16cid:durableId="1854028182">
    <w:abstractNumId w:val="13"/>
  </w:num>
  <w:num w:numId="10" w16cid:durableId="1946033519">
    <w:abstractNumId w:val="10"/>
  </w:num>
  <w:num w:numId="11" w16cid:durableId="1979803703">
    <w:abstractNumId w:val="2"/>
  </w:num>
  <w:num w:numId="12" w16cid:durableId="2102950566">
    <w:abstractNumId w:val="11"/>
  </w:num>
  <w:num w:numId="13" w16cid:durableId="218710875">
    <w:abstractNumId w:val="18"/>
  </w:num>
  <w:num w:numId="14" w16cid:durableId="223377664">
    <w:abstractNumId w:val="16"/>
  </w:num>
  <w:num w:numId="15" w16cid:durableId="247538442">
    <w:abstractNumId w:val="6"/>
  </w:num>
  <w:num w:numId="16" w16cid:durableId="248201417">
    <w:abstractNumId w:val="5"/>
  </w:num>
  <w:num w:numId="17" w16cid:durableId="40135856">
    <w:abstractNumId w:val="17"/>
  </w:num>
  <w:num w:numId="18" w16cid:durableId="557321384">
    <w:abstractNumId w:val="9"/>
  </w:num>
  <w:num w:numId="19" w16cid:durableId="726731395">
    <w:abstractNumId w:val="7"/>
  </w:num>
  <w:num w:numId="20" w16cid:durableId="12663089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BC3"/>
    <w:rsid w:val="000152E8"/>
    <w:rsid w:val="0003366A"/>
    <w:rsid w:val="00053BC3"/>
    <w:rsid w:val="000768B5"/>
    <w:rsid w:val="00081D6B"/>
    <w:rsid w:val="000900A1"/>
    <w:rsid w:val="000A2934"/>
    <w:rsid w:val="000C1E0D"/>
    <w:rsid w:val="000C7995"/>
    <w:rsid w:val="00183A9B"/>
    <w:rsid w:val="001933FA"/>
    <w:rsid w:val="001961AD"/>
    <w:rsid w:val="001E326A"/>
    <w:rsid w:val="00202B5A"/>
    <w:rsid w:val="0020491A"/>
    <w:rsid w:val="002163BB"/>
    <w:rsid w:val="00230F4D"/>
    <w:rsid w:val="00237DD6"/>
    <w:rsid w:val="0025705E"/>
    <w:rsid w:val="002B43FF"/>
    <w:rsid w:val="002C22F5"/>
    <w:rsid w:val="002E5936"/>
    <w:rsid w:val="002F3333"/>
    <w:rsid w:val="002F5516"/>
    <w:rsid w:val="0031777C"/>
    <w:rsid w:val="00345AEA"/>
    <w:rsid w:val="00366237"/>
    <w:rsid w:val="0038126D"/>
    <w:rsid w:val="0038416A"/>
    <w:rsid w:val="00385F5E"/>
    <w:rsid w:val="003E5ABA"/>
    <w:rsid w:val="003E6647"/>
    <w:rsid w:val="00412A1C"/>
    <w:rsid w:val="00430312"/>
    <w:rsid w:val="00437E13"/>
    <w:rsid w:val="00467246"/>
    <w:rsid w:val="00497D97"/>
    <w:rsid w:val="004D12A7"/>
    <w:rsid w:val="004E18EB"/>
    <w:rsid w:val="004F2B92"/>
    <w:rsid w:val="00515C8D"/>
    <w:rsid w:val="005442F5"/>
    <w:rsid w:val="00565A00"/>
    <w:rsid w:val="005843C2"/>
    <w:rsid w:val="00596CA0"/>
    <w:rsid w:val="005E7465"/>
    <w:rsid w:val="005F2431"/>
    <w:rsid w:val="005F5C8C"/>
    <w:rsid w:val="00606853"/>
    <w:rsid w:val="006364D7"/>
    <w:rsid w:val="00641051"/>
    <w:rsid w:val="00657C05"/>
    <w:rsid w:val="0066270F"/>
    <w:rsid w:val="006C061B"/>
    <w:rsid w:val="006D10C3"/>
    <w:rsid w:val="006F4F9A"/>
    <w:rsid w:val="00816D3E"/>
    <w:rsid w:val="00842D53"/>
    <w:rsid w:val="00842D6D"/>
    <w:rsid w:val="008D732F"/>
    <w:rsid w:val="00914045"/>
    <w:rsid w:val="00923D61"/>
    <w:rsid w:val="00926976"/>
    <w:rsid w:val="00943199"/>
    <w:rsid w:val="0095661C"/>
    <w:rsid w:val="00971E27"/>
    <w:rsid w:val="0099194E"/>
    <w:rsid w:val="009C44D2"/>
    <w:rsid w:val="009E06C5"/>
    <w:rsid w:val="00A10DDF"/>
    <w:rsid w:val="00A173D0"/>
    <w:rsid w:val="00A31E8E"/>
    <w:rsid w:val="00A32A05"/>
    <w:rsid w:val="00A43FDF"/>
    <w:rsid w:val="00A723E5"/>
    <w:rsid w:val="00A84047"/>
    <w:rsid w:val="00A93E19"/>
    <w:rsid w:val="00AB3FF6"/>
    <w:rsid w:val="00AC433E"/>
    <w:rsid w:val="00AD4754"/>
    <w:rsid w:val="00AD6D61"/>
    <w:rsid w:val="00B04220"/>
    <w:rsid w:val="00B07D8C"/>
    <w:rsid w:val="00B1582F"/>
    <w:rsid w:val="00B177D7"/>
    <w:rsid w:val="00B549C5"/>
    <w:rsid w:val="00B601EE"/>
    <w:rsid w:val="00BC7EC8"/>
    <w:rsid w:val="00C4133D"/>
    <w:rsid w:val="00C70291"/>
    <w:rsid w:val="00C74727"/>
    <w:rsid w:val="00CB0247"/>
    <w:rsid w:val="00CE3FA4"/>
    <w:rsid w:val="00D25FB8"/>
    <w:rsid w:val="00D26354"/>
    <w:rsid w:val="00D37CEA"/>
    <w:rsid w:val="00D526FF"/>
    <w:rsid w:val="00D52B03"/>
    <w:rsid w:val="00D56CE3"/>
    <w:rsid w:val="00D63453"/>
    <w:rsid w:val="00E13E19"/>
    <w:rsid w:val="00E9687C"/>
    <w:rsid w:val="00F1490E"/>
    <w:rsid w:val="00F14B67"/>
    <w:rsid w:val="00F6615B"/>
    <w:rsid w:val="00F72F2E"/>
    <w:rsid w:val="00F73473"/>
    <w:rsid w:val="00F8675D"/>
    <w:rsid w:val="00F97367"/>
    <w:rsid w:val="00FB5385"/>
    <w:rsid w:val="00FC0C1C"/>
    <w:rsid w:val="00FC7752"/>
    <w:rsid w:val="00FF1903"/>
    <w:rsid w:val="00FF352A"/>
    <w:rsid w:val="00FF5CC4"/>
    <w:rsid w:val="0178BBF0"/>
    <w:rsid w:val="03F28541"/>
    <w:rsid w:val="05455783"/>
    <w:rsid w:val="05FC5E07"/>
    <w:rsid w:val="07DD4F7B"/>
    <w:rsid w:val="10C8420E"/>
    <w:rsid w:val="1311BF27"/>
    <w:rsid w:val="14162161"/>
    <w:rsid w:val="1A17798F"/>
    <w:rsid w:val="1AF00227"/>
    <w:rsid w:val="1FC87AC2"/>
    <w:rsid w:val="209E1FBD"/>
    <w:rsid w:val="2DD64F32"/>
    <w:rsid w:val="2EAE2DD2"/>
    <w:rsid w:val="2EF4F62B"/>
    <w:rsid w:val="35D1830C"/>
    <w:rsid w:val="36E24C66"/>
    <w:rsid w:val="37E51C8A"/>
    <w:rsid w:val="3A25216B"/>
    <w:rsid w:val="3DA0C358"/>
    <w:rsid w:val="437743B6"/>
    <w:rsid w:val="483D3223"/>
    <w:rsid w:val="494AB6A4"/>
    <w:rsid w:val="4C56C5F0"/>
    <w:rsid w:val="50F624A7"/>
    <w:rsid w:val="5115BE2E"/>
    <w:rsid w:val="527EFCA5"/>
    <w:rsid w:val="55367B65"/>
    <w:rsid w:val="60201CE5"/>
    <w:rsid w:val="616EDF52"/>
    <w:rsid w:val="62C26C4E"/>
    <w:rsid w:val="650B463D"/>
    <w:rsid w:val="6A3CD36B"/>
    <w:rsid w:val="6B9075A0"/>
    <w:rsid w:val="6D483A2D"/>
    <w:rsid w:val="6DC10127"/>
    <w:rsid w:val="6DFC558E"/>
    <w:rsid w:val="74960FE9"/>
    <w:rsid w:val="750DFCA7"/>
    <w:rsid w:val="769077EE"/>
    <w:rsid w:val="7E232F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40825"/>
  <w15:chartTrackingRefBased/>
  <w15:docId w15:val="{1776E909-2959-4517-B996-FFD70239C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3B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3B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3B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3B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3B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3B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3B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3B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3B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3B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3B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3B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3B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3B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3B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3B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3B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3BC3"/>
    <w:rPr>
      <w:rFonts w:eastAsiaTheme="majorEastAsia" w:cstheme="majorBidi"/>
      <w:color w:val="272727" w:themeColor="text1" w:themeTint="D8"/>
    </w:rPr>
  </w:style>
  <w:style w:type="paragraph" w:styleId="Title">
    <w:name w:val="Title"/>
    <w:basedOn w:val="Normal"/>
    <w:next w:val="Normal"/>
    <w:link w:val="TitleChar"/>
    <w:uiPriority w:val="10"/>
    <w:qFormat/>
    <w:rsid w:val="00053B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3B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3B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3B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3BC3"/>
    <w:pPr>
      <w:spacing w:before="160"/>
      <w:jc w:val="center"/>
    </w:pPr>
    <w:rPr>
      <w:i/>
      <w:iCs/>
      <w:color w:val="404040" w:themeColor="text1" w:themeTint="BF"/>
    </w:rPr>
  </w:style>
  <w:style w:type="character" w:customStyle="1" w:styleId="QuoteChar">
    <w:name w:val="Quote Char"/>
    <w:basedOn w:val="DefaultParagraphFont"/>
    <w:link w:val="Quote"/>
    <w:uiPriority w:val="29"/>
    <w:rsid w:val="00053BC3"/>
    <w:rPr>
      <w:i/>
      <w:iCs/>
      <w:color w:val="404040" w:themeColor="text1" w:themeTint="BF"/>
    </w:rPr>
  </w:style>
  <w:style w:type="paragraph" w:styleId="ListParagraph">
    <w:name w:val="List Paragraph"/>
    <w:basedOn w:val="Normal"/>
    <w:uiPriority w:val="34"/>
    <w:qFormat/>
    <w:rsid w:val="00053BC3"/>
    <w:pPr>
      <w:ind w:left="720"/>
      <w:contextualSpacing/>
    </w:pPr>
  </w:style>
  <w:style w:type="character" w:styleId="IntenseEmphasis">
    <w:name w:val="Intense Emphasis"/>
    <w:basedOn w:val="DefaultParagraphFont"/>
    <w:uiPriority w:val="21"/>
    <w:qFormat/>
    <w:rsid w:val="00053BC3"/>
    <w:rPr>
      <w:i/>
      <w:iCs/>
      <w:color w:val="0F4761" w:themeColor="accent1" w:themeShade="BF"/>
    </w:rPr>
  </w:style>
  <w:style w:type="paragraph" w:styleId="IntenseQuote">
    <w:name w:val="Intense Quote"/>
    <w:basedOn w:val="Normal"/>
    <w:next w:val="Normal"/>
    <w:link w:val="IntenseQuoteChar"/>
    <w:uiPriority w:val="30"/>
    <w:qFormat/>
    <w:rsid w:val="00053B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3BC3"/>
    <w:rPr>
      <w:i/>
      <w:iCs/>
      <w:color w:val="0F4761" w:themeColor="accent1" w:themeShade="BF"/>
    </w:rPr>
  </w:style>
  <w:style w:type="character" w:styleId="IntenseReference">
    <w:name w:val="Intense Reference"/>
    <w:basedOn w:val="DefaultParagraphFont"/>
    <w:uiPriority w:val="32"/>
    <w:qFormat/>
    <w:rsid w:val="00053BC3"/>
    <w:rPr>
      <w:b/>
      <w:bCs/>
      <w:smallCaps/>
      <w:color w:val="0F4761" w:themeColor="accent1" w:themeShade="BF"/>
      <w:spacing w:val="5"/>
    </w:rPr>
  </w:style>
  <w:style w:type="paragraph" w:styleId="NormalWeb">
    <w:name w:val="Normal (Web)"/>
    <w:basedOn w:val="Normal"/>
    <w:uiPriority w:val="99"/>
    <w:semiHidden/>
    <w:unhideWhenUsed/>
    <w:rsid w:val="00053BC3"/>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WPNormal">
    <w:name w:val="WP_Normal"/>
    <w:basedOn w:val="Normal"/>
    <w:rsid w:val="004D12A7"/>
    <w:pPr>
      <w:widowControl w:val="0"/>
      <w:spacing w:after="0" w:line="240" w:lineRule="auto"/>
    </w:pPr>
    <w:rPr>
      <w:rFonts w:ascii="Monaco" w:eastAsia="Times New Roman" w:hAnsi="Monaco" w:cs="Mangal"/>
      <w:snapToGrid w:val="0"/>
      <w:kern w:val="0"/>
      <w:lang w:bidi="ne-NP"/>
      <w14:ligatures w14:val="none"/>
    </w:rPr>
  </w:style>
  <w:style w:type="paragraph" w:styleId="BodyText3">
    <w:name w:val="Body Text 3"/>
    <w:basedOn w:val="Normal"/>
    <w:link w:val="BodyText3Char"/>
    <w:rsid w:val="004D12A7"/>
    <w:pPr>
      <w:spacing w:after="120" w:line="240" w:lineRule="auto"/>
    </w:pPr>
    <w:rPr>
      <w:rFonts w:ascii="Times New Roman" w:eastAsia="Times New Roman" w:hAnsi="Times New Roman" w:cs="Times New Roman"/>
      <w:kern w:val="0"/>
      <w:sz w:val="16"/>
      <w:szCs w:val="16"/>
      <w:lang w:eastAsia="en-GB"/>
      <w14:ligatures w14:val="none"/>
    </w:rPr>
  </w:style>
  <w:style w:type="character" w:customStyle="1" w:styleId="BodyText3Char">
    <w:name w:val="Body Text 3 Char"/>
    <w:basedOn w:val="DefaultParagraphFont"/>
    <w:link w:val="BodyText3"/>
    <w:rsid w:val="004D12A7"/>
    <w:rPr>
      <w:rFonts w:ascii="Times New Roman" w:eastAsia="Times New Roman" w:hAnsi="Times New Roman" w:cs="Times New Roman"/>
      <w:kern w:val="0"/>
      <w:sz w:val="16"/>
      <w:szCs w:val="16"/>
      <w:lang w:eastAsia="en-GB"/>
      <w14:ligatures w14:val="none"/>
    </w:rPr>
  </w:style>
  <w:style w:type="paragraph" w:customStyle="1" w:styleId="Default">
    <w:name w:val="Default"/>
    <w:rsid w:val="00A32A05"/>
    <w:pPr>
      <w:autoSpaceDE w:val="0"/>
      <w:autoSpaceDN w:val="0"/>
      <w:adjustRightInd w:val="0"/>
      <w:spacing w:after="0" w:line="240" w:lineRule="auto"/>
    </w:pPr>
    <w:rPr>
      <w:rFonts w:ascii="Arial" w:eastAsia="Times New Roman" w:hAnsi="Arial" w:cs="Arial"/>
      <w:color w:val="000000"/>
      <w:kern w:val="0"/>
      <w:lang w:eastAsia="en-GB"/>
      <w14:ligatures w14:val="none"/>
    </w:rPr>
  </w:style>
  <w:style w:type="character" w:styleId="Hyperlink">
    <w:name w:val="Hyperlink"/>
    <w:basedOn w:val="DefaultParagraphFont"/>
    <w:uiPriority w:val="99"/>
    <w:semiHidden/>
    <w:unhideWhenUsed/>
    <w:rsid w:val="006F4F9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firstcontact.teamadmin@dundeecity.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yangus.angus.gov.uk/AchieveForms/?mode=fill&amp;consentMessage=yes&amp;form_uri=sandbox-publish://AF-Process-d86b6d90-4f86-4c53-8c8f-da934db1d2b3/AF-Stage-f41b2a62-dabd-49e7-8de9-db80ec8fc389/definition.json&amp;process=1&amp;process_uri=sandbox-processes://AF-Process-d86b6d90-4f86-4c53-8c8f-da934db1d2b3&amp;process_id=AF-Process-d86b6d90-4f86-4c53-8c8f-da934db1d2b3"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2738</Words>
  <Characters>15610</Characters>
  <Application>Microsoft Office Word</Application>
  <DocSecurity>0</DocSecurity>
  <Lines>130</Lines>
  <Paragraphs>36</Paragraphs>
  <ScaleCrop>false</ScaleCrop>
  <Company/>
  <LinksUpToDate>false</LinksUpToDate>
  <CharactersWithSpaces>18312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Linlay Anderson</dc:creator>
  <cp:keywords/>
  <dc:description/>
  <cp:lastModifiedBy>Linlay Anderson</cp:lastModifiedBy>
  <cp:revision>4</cp:revision>
  <cp:lastPrinted>2026-07-14T15:01:00Z</cp:lastPrinted>
  <dcterms:created xsi:type="dcterms:W3CDTF">2026-09-03T10:37:00Z</dcterms:created>
  <dcterms:modified xsi:type="dcterms:W3CDTF">2026-09-03T10:38:00Z</dcterms:modified>
</cp:coreProperties>
</file>