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09085" w14:textId="77777777" w:rsidR="005D0883" w:rsidRDefault="005D0883" w:rsidP="005D0883">
      <w:pPr>
        <w:ind w:left="360"/>
        <w:rPr>
          <w:rFonts w:ascii="Arial" w:hAnsi="Arial" w:cs="Arial"/>
          <w:lang w:val="en-GB"/>
        </w:rPr>
      </w:pPr>
    </w:p>
    <w:p w14:paraId="2854FE28" w14:textId="77777777" w:rsidR="005D0883" w:rsidRDefault="005D0883" w:rsidP="005D0883">
      <w:pPr>
        <w:ind w:left="360"/>
        <w:rPr>
          <w:rFonts w:ascii="Arial" w:hAnsi="Arial" w:cs="Arial"/>
          <w:lang w:val="en-GB"/>
        </w:rPr>
      </w:pPr>
    </w:p>
    <w:p w14:paraId="5FA71514" w14:textId="77777777" w:rsidR="005D0883" w:rsidRPr="006178BD" w:rsidRDefault="005D0883" w:rsidP="005D0883">
      <w:pPr>
        <w:ind w:left="360"/>
        <w:rPr>
          <w:rFonts w:ascii="Arial" w:hAnsi="Arial" w:cs="Arial"/>
          <w:lang w:val="en-GB"/>
        </w:rPr>
      </w:pPr>
    </w:p>
    <w:p w14:paraId="27E08439" w14:textId="77777777" w:rsidR="005D0883" w:rsidRDefault="005D0883" w:rsidP="005D0883">
      <w:pPr>
        <w:rPr>
          <w:sz w:val="28"/>
        </w:rPr>
      </w:pPr>
    </w:p>
    <w:p w14:paraId="6B3D3E05" w14:textId="04DA1808" w:rsidR="005D0883" w:rsidRDefault="005D0883" w:rsidP="005D0883">
      <w:pPr>
        <w:rPr>
          <w:sz w:val="28"/>
        </w:rPr>
      </w:pPr>
    </w:p>
    <w:p w14:paraId="27813250" w14:textId="29D60269" w:rsidR="005D0883" w:rsidRDefault="00117AC7" w:rsidP="005D0883">
      <w:pPr>
        <w:rPr>
          <w:sz w:val="28"/>
        </w:rPr>
      </w:pPr>
      <w:bookmarkStart w:id="0" w:name="_Hlk187844838"/>
      <w:r w:rsidRPr="009844D1">
        <w:rPr>
          <w:noProof/>
        </w:rPr>
        <w:drawing>
          <wp:inline distT="0" distB="0" distL="0" distR="0" wp14:anchorId="4253CA7C" wp14:editId="75A08332">
            <wp:extent cx="5108575" cy="1987550"/>
            <wp:effectExtent l="0" t="0" r="0" b="0"/>
            <wp:docPr id="1" name="Picture 3147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31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08575" cy="1987550"/>
                    </a:xfrm>
                    <a:prstGeom prst="rect">
                      <a:avLst/>
                    </a:prstGeom>
                    <a:noFill/>
                    <a:ln>
                      <a:noFill/>
                    </a:ln>
                  </pic:spPr>
                </pic:pic>
              </a:graphicData>
            </a:graphic>
          </wp:inline>
        </w:drawing>
      </w:r>
      <w:bookmarkEnd w:id="0"/>
    </w:p>
    <w:p w14:paraId="22740181" w14:textId="77777777" w:rsidR="005D0883" w:rsidRDefault="005D0883" w:rsidP="005D0883">
      <w:pPr>
        <w:rPr>
          <w:sz w:val="28"/>
        </w:rPr>
      </w:pPr>
    </w:p>
    <w:p w14:paraId="576A6E8E" w14:textId="51367ACE" w:rsidR="005D0883" w:rsidRDefault="005D0883" w:rsidP="005D0883">
      <w:pPr>
        <w:rPr>
          <w:sz w:val="28"/>
        </w:rPr>
      </w:pPr>
    </w:p>
    <w:p w14:paraId="7A9E861C" w14:textId="77777777" w:rsidR="005D0883" w:rsidRDefault="005D0883" w:rsidP="005D0883">
      <w:pPr>
        <w:rPr>
          <w:sz w:val="28"/>
        </w:rPr>
      </w:pPr>
    </w:p>
    <w:p w14:paraId="2E8BD00B" w14:textId="77777777" w:rsidR="005D0883" w:rsidRDefault="005D0883" w:rsidP="005D0883">
      <w:pPr>
        <w:rPr>
          <w:sz w:val="28"/>
        </w:rPr>
      </w:pPr>
    </w:p>
    <w:p w14:paraId="44B8F0D1" w14:textId="77777777" w:rsidR="005D0883" w:rsidRDefault="005D0883" w:rsidP="005D0883">
      <w:pPr>
        <w:rPr>
          <w:sz w:val="28"/>
        </w:rPr>
      </w:pPr>
    </w:p>
    <w:p w14:paraId="05FB4BF5" w14:textId="77777777" w:rsidR="00B237B6" w:rsidRPr="0036144E" w:rsidRDefault="005E1B85" w:rsidP="00B237B6">
      <w:pPr>
        <w:pStyle w:val="BodyText3"/>
        <w:jc w:val="center"/>
        <w:rPr>
          <w:rFonts w:asciiTheme="minorHAnsi" w:hAnsiTheme="minorHAnsi" w:cs="Arial"/>
          <w:color w:val="002060"/>
          <w:sz w:val="52"/>
          <w:szCs w:val="52"/>
        </w:rPr>
      </w:pPr>
      <w:r w:rsidRPr="0036144E">
        <w:rPr>
          <w:rFonts w:asciiTheme="minorHAnsi" w:hAnsiTheme="minorHAnsi" w:cs="Arial"/>
          <w:color w:val="002060"/>
          <w:sz w:val="52"/>
          <w:szCs w:val="52"/>
        </w:rPr>
        <w:t xml:space="preserve">Mutual Exchange </w:t>
      </w:r>
      <w:r w:rsidR="00B237B6" w:rsidRPr="0036144E">
        <w:rPr>
          <w:rFonts w:asciiTheme="minorHAnsi" w:hAnsiTheme="minorHAnsi" w:cs="Arial"/>
          <w:color w:val="002060"/>
          <w:sz w:val="52"/>
          <w:szCs w:val="52"/>
        </w:rPr>
        <w:t>Policy</w:t>
      </w:r>
    </w:p>
    <w:p w14:paraId="149DBB2A" w14:textId="77777777" w:rsidR="00B237B6" w:rsidRPr="002B1C38" w:rsidRDefault="00B237B6" w:rsidP="00B237B6">
      <w:pPr>
        <w:pStyle w:val="BodyText3"/>
        <w:rPr>
          <w:rFonts w:asciiTheme="minorHAnsi" w:hAnsiTheme="minorHAnsi" w:cs="Arial"/>
          <w:color w:val="002060"/>
          <w:sz w:val="24"/>
          <w:szCs w:val="24"/>
        </w:rPr>
      </w:pPr>
    </w:p>
    <w:p w14:paraId="022206D7" w14:textId="77777777" w:rsidR="00B237B6" w:rsidRPr="002B1C38" w:rsidRDefault="00B237B6" w:rsidP="00B237B6">
      <w:pPr>
        <w:pStyle w:val="BodyText3"/>
        <w:rPr>
          <w:rFonts w:asciiTheme="minorHAnsi" w:hAnsiTheme="minorHAnsi"/>
          <w:sz w:val="24"/>
          <w:szCs w:val="24"/>
        </w:rPr>
      </w:pPr>
    </w:p>
    <w:p w14:paraId="6E6D0BA4" w14:textId="77777777" w:rsidR="00B237B6" w:rsidRPr="002B1C38" w:rsidRDefault="00B237B6" w:rsidP="00B237B6">
      <w:pPr>
        <w:pStyle w:val="BodyText3"/>
        <w:rPr>
          <w:rFonts w:asciiTheme="minorHAnsi" w:hAnsiTheme="minorHAnsi"/>
          <w:sz w:val="24"/>
          <w:szCs w:val="24"/>
        </w:rPr>
      </w:pPr>
    </w:p>
    <w:p w14:paraId="686492DB" w14:textId="77777777" w:rsidR="00B237B6" w:rsidRPr="002B1C38" w:rsidRDefault="00B237B6" w:rsidP="00B237B6">
      <w:pPr>
        <w:pStyle w:val="BodyText3"/>
        <w:rPr>
          <w:rFonts w:asciiTheme="minorHAnsi" w:hAnsiTheme="minorHAnsi"/>
          <w:sz w:val="24"/>
          <w:szCs w:val="24"/>
        </w:rPr>
      </w:pPr>
    </w:p>
    <w:p w14:paraId="7562CB46" w14:textId="77777777" w:rsidR="00B237B6" w:rsidRPr="002B1C38" w:rsidRDefault="00B237B6" w:rsidP="00B237B6">
      <w:pPr>
        <w:pStyle w:val="BodyText3"/>
        <w:rPr>
          <w:rFonts w:asciiTheme="minorHAnsi" w:hAnsiTheme="minorHAnsi"/>
          <w:sz w:val="24"/>
          <w:szCs w:val="24"/>
        </w:rPr>
      </w:pPr>
    </w:p>
    <w:tbl>
      <w:tblPr>
        <w:tblW w:w="0" w:type="auto"/>
        <w:tblInd w:w="1133"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2496"/>
        <w:gridCol w:w="1425"/>
        <w:gridCol w:w="1900"/>
        <w:gridCol w:w="950"/>
      </w:tblGrid>
      <w:tr w:rsidR="00B237B6" w:rsidRPr="002B1C38" w14:paraId="4CF5B18B" w14:textId="77777777" w:rsidTr="00C47BBE">
        <w:trPr>
          <w:trHeight w:val="93"/>
        </w:trPr>
        <w:tc>
          <w:tcPr>
            <w:tcW w:w="3921" w:type="dxa"/>
            <w:gridSpan w:val="2"/>
            <w:tcBorders>
              <w:top w:val="single" w:sz="4" w:space="0" w:color="002060"/>
              <w:left w:val="single" w:sz="4" w:space="0" w:color="002060"/>
              <w:bottom w:val="single" w:sz="4" w:space="0" w:color="002060"/>
              <w:right w:val="single" w:sz="4" w:space="0" w:color="002060"/>
            </w:tcBorders>
            <w:hideMark/>
          </w:tcPr>
          <w:p w14:paraId="6A1D35F6" w14:textId="77777777" w:rsidR="00B237B6" w:rsidRPr="002B1C38" w:rsidRDefault="00B237B6" w:rsidP="00C47BBE">
            <w:pPr>
              <w:rPr>
                <w:rFonts w:asciiTheme="minorHAnsi" w:hAnsiTheme="minorHAnsi" w:cs="Arial"/>
                <w:b/>
                <w:color w:val="002060"/>
              </w:rPr>
            </w:pPr>
            <w:r w:rsidRPr="002B1C38">
              <w:rPr>
                <w:rFonts w:asciiTheme="minorHAnsi" w:hAnsiTheme="minorHAnsi" w:cs="Arial"/>
                <w:b/>
                <w:color w:val="002060"/>
              </w:rPr>
              <w:t>Policy Name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7DAC102E" w14:textId="77777777" w:rsidR="00B237B6" w:rsidRPr="002B1C38" w:rsidRDefault="00B237B6" w:rsidP="00C47BBE">
            <w:pPr>
              <w:rPr>
                <w:rFonts w:asciiTheme="minorHAnsi" w:hAnsiTheme="minorHAnsi" w:cs="Arial"/>
                <w:color w:val="002060"/>
              </w:rPr>
            </w:pPr>
            <w:r w:rsidRPr="002B1C38">
              <w:rPr>
                <w:rFonts w:asciiTheme="minorHAnsi" w:hAnsiTheme="minorHAnsi" w:cs="Arial"/>
                <w:color w:val="002060"/>
              </w:rPr>
              <w:t xml:space="preserve">Mutual Exchange Policy </w:t>
            </w:r>
          </w:p>
        </w:tc>
      </w:tr>
      <w:tr w:rsidR="00B237B6" w:rsidRPr="002B1C38" w14:paraId="29514ED4" w14:textId="77777777" w:rsidTr="00C47BBE">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08A8ECA7" w14:textId="77777777" w:rsidR="00B237B6" w:rsidRPr="002B1C38" w:rsidRDefault="00B237B6" w:rsidP="00C47BBE">
            <w:pPr>
              <w:rPr>
                <w:rFonts w:asciiTheme="minorHAnsi" w:hAnsiTheme="minorHAnsi" w:cs="Arial"/>
                <w:b/>
                <w:color w:val="002060"/>
              </w:rPr>
            </w:pPr>
            <w:r w:rsidRPr="002B1C38">
              <w:rPr>
                <w:rFonts w:asciiTheme="minorHAnsi" w:hAnsiTheme="minorHAnsi" w:cs="Arial"/>
                <w:b/>
                <w:color w:val="002060"/>
              </w:rPr>
              <w:t>Policy Ref</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538B7D43" w14:textId="77777777" w:rsidR="00B237B6" w:rsidRPr="002B1C38" w:rsidRDefault="00B237B6" w:rsidP="00C47BBE">
            <w:pPr>
              <w:rPr>
                <w:rFonts w:asciiTheme="minorHAnsi" w:hAnsiTheme="minorHAnsi" w:cs="Arial"/>
                <w:color w:val="002060"/>
              </w:rPr>
            </w:pPr>
            <w:r w:rsidRPr="002B1C38">
              <w:rPr>
                <w:rFonts w:asciiTheme="minorHAnsi" w:hAnsiTheme="minorHAnsi" w:cs="Arial"/>
                <w:color w:val="002060"/>
              </w:rPr>
              <w:t>HM</w:t>
            </w:r>
          </w:p>
        </w:tc>
      </w:tr>
      <w:tr w:rsidR="00B237B6" w:rsidRPr="002B1C38" w14:paraId="368891F6" w14:textId="77777777" w:rsidTr="00C47BBE">
        <w:trPr>
          <w:trHeight w:val="290"/>
        </w:trPr>
        <w:tc>
          <w:tcPr>
            <w:tcW w:w="3921" w:type="dxa"/>
            <w:gridSpan w:val="2"/>
            <w:tcBorders>
              <w:top w:val="single" w:sz="4" w:space="0" w:color="002060"/>
              <w:left w:val="single" w:sz="4" w:space="0" w:color="002060"/>
              <w:bottom w:val="single" w:sz="4" w:space="0" w:color="002060"/>
              <w:right w:val="single" w:sz="4" w:space="0" w:color="002060"/>
            </w:tcBorders>
            <w:hideMark/>
          </w:tcPr>
          <w:p w14:paraId="2F49EC8A" w14:textId="77777777" w:rsidR="00B237B6" w:rsidRPr="002B1C38" w:rsidRDefault="00B237B6" w:rsidP="00C47BBE">
            <w:pPr>
              <w:rPr>
                <w:rFonts w:asciiTheme="minorHAnsi" w:hAnsiTheme="minorHAnsi" w:cs="Arial"/>
                <w:b/>
                <w:color w:val="002060"/>
              </w:rPr>
            </w:pPr>
            <w:r w:rsidRPr="002B1C38">
              <w:rPr>
                <w:rFonts w:asciiTheme="minorHAnsi" w:hAnsiTheme="minorHAnsi" w:cs="Arial"/>
                <w:b/>
                <w:color w:val="002060"/>
              </w:rPr>
              <w:t>Review Date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42043596" w14:textId="25E92D6E" w:rsidR="00B237B6" w:rsidRPr="002B1C38" w:rsidRDefault="002467B3" w:rsidP="00B237B6">
            <w:pPr>
              <w:rPr>
                <w:rFonts w:asciiTheme="minorHAnsi" w:hAnsiTheme="minorHAnsi" w:cs="Arial"/>
                <w:color w:val="002060"/>
              </w:rPr>
            </w:pPr>
            <w:r w:rsidRPr="002B1C38">
              <w:rPr>
                <w:rFonts w:asciiTheme="minorHAnsi" w:hAnsiTheme="minorHAnsi" w:cs="Arial"/>
                <w:color w:val="002060"/>
              </w:rPr>
              <w:t xml:space="preserve">September </w:t>
            </w:r>
            <w:r w:rsidR="00B237B6" w:rsidRPr="002B1C38">
              <w:rPr>
                <w:rFonts w:asciiTheme="minorHAnsi" w:hAnsiTheme="minorHAnsi" w:cs="Arial"/>
                <w:color w:val="002060"/>
              </w:rPr>
              <w:t>202</w:t>
            </w:r>
            <w:r w:rsidRPr="002B1C38">
              <w:rPr>
                <w:rFonts w:asciiTheme="minorHAnsi" w:hAnsiTheme="minorHAnsi" w:cs="Arial"/>
                <w:color w:val="002060"/>
              </w:rPr>
              <w:t>6</w:t>
            </w:r>
          </w:p>
        </w:tc>
      </w:tr>
      <w:tr w:rsidR="00B237B6" w:rsidRPr="002B1C38" w14:paraId="18277523" w14:textId="77777777" w:rsidTr="00C47BBE">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3054555F" w14:textId="77777777" w:rsidR="00B237B6" w:rsidRPr="002B1C38" w:rsidRDefault="00B237B6" w:rsidP="00C47BBE">
            <w:pPr>
              <w:rPr>
                <w:rFonts w:asciiTheme="minorHAnsi" w:hAnsiTheme="minorHAnsi" w:cs="Arial"/>
                <w:b/>
                <w:color w:val="002060"/>
              </w:rPr>
            </w:pPr>
            <w:r w:rsidRPr="002B1C38">
              <w:rPr>
                <w:rFonts w:asciiTheme="minorHAnsi" w:hAnsiTheme="minorHAnsi" w:cs="Arial"/>
                <w:b/>
                <w:color w:val="002060"/>
              </w:rPr>
              <w:t>Next Review Date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2E5BF089" w14:textId="69ACD035" w:rsidR="00B237B6" w:rsidRPr="002B1C38" w:rsidRDefault="002467B3" w:rsidP="00B237B6">
            <w:pPr>
              <w:rPr>
                <w:rFonts w:asciiTheme="minorHAnsi" w:hAnsiTheme="minorHAnsi" w:cs="Arial"/>
                <w:color w:val="002060"/>
              </w:rPr>
            </w:pPr>
            <w:r w:rsidRPr="002B1C38">
              <w:rPr>
                <w:rFonts w:asciiTheme="minorHAnsi" w:hAnsiTheme="minorHAnsi" w:cs="Arial"/>
                <w:color w:val="002060"/>
              </w:rPr>
              <w:t>September</w:t>
            </w:r>
            <w:r w:rsidR="00B237B6" w:rsidRPr="002B1C38">
              <w:rPr>
                <w:rFonts w:asciiTheme="minorHAnsi" w:hAnsiTheme="minorHAnsi" w:cs="Arial"/>
                <w:color w:val="002060"/>
              </w:rPr>
              <w:t xml:space="preserve"> 20</w:t>
            </w:r>
            <w:r w:rsidR="002F0BAF" w:rsidRPr="002B1C38">
              <w:rPr>
                <w:rFonts w:asciiTheme="minorHAnsi" w:hAnsiTheme="minorHAnsi" w:cs="Arial"/>
                <w:color w:val="002060"/>
              </w:rPr>
              <w:t>3</w:t>
            </w:r>
            <w:r w:rsidRPr="002B1C38">
              <w:rPr>
                <w:rFonts w:asciiTheme="minorHAnsi" w:hAnsiTheme="minorHAnsi" w:cs="Arial"/>
                <w:color w:val="002060"/>
              </w:rPr>
              <w:t>1</w:t>
            </w:r>
          </w:p>
        </w:tc>
      </w:tr>
      <w:tr w:rsidR="00B237B6" w:rsidRPr="002B1C38" w14:paraId="2701E699" w14:textId="77777777" w:rsidTr="00C47BBE">
        <w:trPr>
          <w:trHeight w:val="581"/>
        </w:trPr>
        <w:tc>
          <w:tcPr>
            <w:tcW w:w="3921" w:type="dxa"/>
            <w:gridSpan w:val="2"/>
            <w:tcBorders>
              <w:top w:val="single" w:sz="4" w:space="0" w:color="002060"/>
              <w:left w:val="single" w:sz="4" w:space="0" w:color="002060"/>
              <w:bottom w:val="single" w:sz="4" w:space="0" w:color="002060"/>
              <w:right w:val="single" w:sz="4" w:space="0" w:color="002060"/>
            </w:tcBorders>
            <w:hideMark/>
          </w:tcPr>
          <w:p w14:paraId="3CC5907D" w14:textId="77777777" w:rsidR="00B237B6" w:rsidRPr="002B1C38" w:rsidRDefault="00B237B6" w:rsidP="00C47BBE">
            <w:pPr>
              <w:rPr>
                <w:rFonts w:asciiTheme="minorHAnsi" w:hAnsiTheme="minorHAnsi" w:cs="Arial"/>
                <w:b/>
                <w:color w:val="002060"/>
              </w:rPr>
            </w:pPr>
            <w:r w:rsidRPr="002B1C38">
              <w:rPr>
                <w:rFonts w:asciiTheme="minorHAnsi" w:hAnsiTheme="minorHAnsi" w:cs="Arial"/>
                <w:b/>
                <w:color w:val="002060"/>
              </w:rPr>
              <w:t>Committee</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0244DDE9" w14:textId="77777777" w:rsidR="00B237B6" w:rsidRPr="002B1C38" w:rsidRDefault="00B237B6" w:rsidP="00C47BBE">
            <w:pPr>
              <w:rPr>
                <w:rFonts w:asciiTheme="minorHAnsi" w:hAnsiTheme="minorHAnsi" w:cs="Arial"/>
                <w:color w:val="002060"/>
              </w:rPr>
            </w:pPr>
            <w:r w:rsidRPr="002B1C38">
              <w:rPr>
                <w:rFonts w:asciiTheme="minorHAnsi" w:hAnsiTheme="minorHAnsi" w:cs="Arial"/>
                <w:color w:val="002060"/>
              </w:rPr>
              <w:t>Service Delivery Sub Committee</w:t>
            </w:r>
          </w:p>
        </w:tc>
      </w:tr>
      <w:tr w:rsidR="00B237B6" w:rsidRPr="002B1C38" w14:paraId="74B03E15" w14:textId="77777777" w:rsidTr="00C47BBE">
        <w:trPr>
          <w:trHeight w:val="280"/>
        </w:trPr>
        <w:tc>
          <w:tcPr>
            <w:tcW w:w="3921" w:type="dxa"/>
            <w:gridSpan w:val="2"/>
            <w:tcBorders>
              <w:top w:val="single" w:sz="4" w:space="0" w:color="002060"/>
              <w:left w:val="single" w:sz="4" w:space="0" w:color="002060"/>
              <w:bottom w:val="single" w:sz="4" w:space="0" w:color="002060"/>
              <w:right w:val="single" w:sz="4" w:space="0" w:color="002060"/>
            </w:tcBorders>
            <w:hideMark/>
          </w:tcPr>
          <w:p w14:paraId="0EF842D8" w14:textId="77777777" w:rsidR="00B237B6" w:rsidRPr="002B1C38" w:rsidRDefault="00B237B6" w:rsidP="00C47BBE">
            <w:pPr>
              <w:rPr>
                <w:rFonts w:asciiTheme="minorHAnsi" w:hAnsiTheme="minorHAnsi" w:cs="Arial"/>
                <w:b/>
                <w:color w:val="002060"/>
              </w:rPr>
            </w:pPr>
            <w:r w:rsidRPr="002B1C38">
              <w:rPr>
                <w:rFonts w:asciiTheme="minorHAnsi" w:hAnsiTheme="minorHAnsi" w:cs="Arial"/>
                <w:b/>
                <w:color w:val="002060"/>
              </w:rPr>
              <w:t>Author</w:t>
            </w:r>
          </w:p>
        </w:tc>
        <w:tc>
          <w:tcPr>
            <w:tcW w:w="2850" w:type="dxa"/>
            <w:gridSpan w:val="2"/>
            <w:tcBorders>
              <w:top w:val="single" w:sz="4" w:space="0" w:color="002060"/>
              <w:left w:val="single" w:sz="4" w:space="0" w:color="002060"/>
              <w:bottom w:val="single" w:sz="4" w:space="0" w:color="002060"/>
              <w:right w:val="single" w:sz="4" w:space="0" w:color="002060"/>
            </w:tcBorders>
            <w:hideMark/>
          </w:tcPr>
          <w:p w14:paraId="652918FB" w14:textId="77777777" w:rsidR="00B237B6" w:rsidRPr="002B1C38" w:rsidRDefault="00B237B6" w:rsidP="00C47BBE">
            <w:pPr>
              <w:rPr>
                <w:rFonts w:asciiTheme="minorHAnsi" w:hAnsiTheme="minorHAnsi" w:cs="Arial"/>
                <w:color w:val="002060"/>
              </w:rPr>
            </w:pPr>
            <w:r w:rsidRPr="002B1C38">
              <w:rPr>
                <w:rFonts w:asciiTheme="minorHAnsi" w:hAnsiTheme="minorHAnsi" w:cs="Arial"/>
                <w:color w:val="002060"/>
              </w:rPr>
              <w:t xml:space="preserve">Linlay Anderson </w:t>
            </w:r>
          </w:p>
        </w:tc>
      </w:tr>
      <w:tr w:rsidR="00B237B6" w:rsidRPr="002B1C38" w14:paraId="1EAABDF6" w14:textId="77777777" w:rsidTr="00C47BBE">
        <w:trPr>
          <w:trHeight w:val="571"/>
        </w:trPr>
        <w:tc>
          <w:tcPr>
            <w:tcW w:w="2496" w:type="dxa"/>
            <w:tcBorders>
              <w:top w:val="single" w:sz="4" w:space="0" w:color="002060"/>
              <w:left w:val="single" w:sz="4" w:space="0" w:color="002060"/>
              <w:bottom w:val="single" w:sz="4" w:space="0" w:color="002060"/>
              <w:right w:val="single" w:sz="4" w:space="0" w:color="002060"/>
            </w:tcBorders>
            <w:hideMark/>
          </w:tcPr>
          <w:p w14:paraId="284A90DC" w14:textId="77777777" w:rsidR="00B237B6" w:rsidRPr="002B1C38" w:rsidRDefault="00B237B6" w:rsidP="00C47BBE">
            <w:pPr>
              <w:rPr>
                <w:rFonts w:asciiTheme="minorHAnsi" w:hAnsiTheme="minorHAnsi" w:cs="Arial"/>
                <w:b/>
                <w:color w:val="002060"/>
              </w:rPr>
            </w:pPr>
            <w:r w:rsidRPr="002B1C38">
              <w:rPr>
                <w:rFonts w:asciiTheme="minorHAnsi" w:hAnsiTheme="minorHAnsi" w:cs="Arial"/>
                <w:b/>
                <w:color w:val="002060"/>
              </w:rPr>
              <w:t>Internal Policy</w:t>
            </w:r>
          </w:p>
        </w:tc>
        <w:tc>
          <w:tcPr>
            <w:tcW w:w="1424" w:type="dxa"/>
            <w:tcBorders>
              <w:top w:val="single" w:sz="4" w:space="0" w:color="002060"/>
              <w:left w:val="single" w:sz="4" w:space="0" w:color="002060"/>
              <w:bottom w:val="single" w:sz="4" w:space="0" w:color="002060"/>
              <w:right w:val="single" w:sz="4" w:space="0" w:color="002060"/>
            </w:tcBorders>
          </w:tcPr>
          <w:p w14:paraId="4FA40AAF" w14:textId="77777777" w:rsidR="00B237B6" w:rsidRPr="002B1C38" w:rsidRDefault="00B237B6" w:rsidP="00C47BBE">
            <w:pPr>
              <w:rPr>
                <w:rFonts w:asciiTheme="minorHAnsi" w:hAnsiTheme="minorHAnsi" w:cs="Arial"/>
                <w:color w:val="002060"/>
              </w:rPr>
            </w:pPr>
          </w:p>
        </w:tc>
        <w:tc>
          <w:tcPr>
            <w:tcW w:w="1900" w:type="dxa"/>
            <w:tcBorders>
              <w:top w:val="single" w:sz="4" w:space="0" w:color="002060"/>
              <w:left w:val="single" w:sz="4" w:space="0" w:color="002060"/>
              <w:bottom w:val="single" w:sz="4" w:space="0" w:color="002060"/>
              <w:right w:val="single" w:sz="4" w:space="0" w:color="002060"/>
            </w:tcBorders>
            <w:hideMark/>
          </w:tcPr>
          <w:p w14:paraId="633AAF58" w14:textId="77777777" w:rsidR="00B237B6" w:rsidRPr="002B1C38" w:rsidRDefault="00B237B6" w:rsidP="00C47BBE">
            <w:pPr>
              <w:rPr>
                <w:rFonts w:asciiTheme="minorHAnsi" w:hAnsiTheme="minorHAnsi" w:cs="Arial"/>
                <w:b/>
                <w:color w:val="002060"/>
              </w:rPr>
            </w:pPr>
            <w:r w:rsidRPr="002B1C38">
              <w:rPr>
                <w:rFonts w:asciiTheme="minorHAnsi" w:hAnsiTheme="minorHAnsi" w:cs="Arial"/>
                <w:b/>
                <w:color w:val="002060"/>
              </w:rPr>
              <w:t>To be published</w:t>
            </w:r>
          </w:p>
        </w:tc>
        <w:tc>
          <w:tcPr>
            <w:tcW w:w="950" w:type="dxa"/>
            <w:tcBorders>
              <w:top w:val="single" w:sz="4" w:space="0" w:color="002060"/>
              <w:left w:val="single" w:sz="4" w:space="0" w:color="002060"/>
              <w:bottom w:val="single" w:sz="4" w:space="0" w:color="002060"/>
              <w:right w:val="single" w:sz="4" w:space="0" w:color="002060"/>
            </w:tcBorders>
            <w:hideMark/>
          </w:tcPr>
          <w:p w14:paraId="5D659FA7" w14:textId="77777777" w:rsidR="00B237B6" w:rsidRPr="002B1C38" w:rsidRDefault="00B237B6" w:rsidP="00C47BBE">
            <w:pPr>
              <w:rPr>
                <w:rFonts w:asciiTheme="minorHAnsi" w:hAnsiTheme="minorHAnsi" w:cs="Arial"/>
                <w:color w:val="002060"/>
              </w:rPr>
            </w:pPr>
            <w:r w:rsidRPr="002B1C38">
              <w:rPr>
                <w:rFonts w:asciiTheme="minorHAnsi" w:hAnsiTheme="minorHAnsi" w:cs="Arial"/>
                <w:color w:val="002060"/>
              </w:rPr>
              <w:t>X</w:t>
            </w:r>
          </w:p>
        </w:tc>
      </w:tr>
    </w:tbl>
    <w:p w14:paraId="17463640" w14:textId="77777777" w:rsidR="00B237B6" w:rsidRPr="002B1C38" w:rsidRDefault="00B237B6" w:rsidP="00B237B6">
      <w:pPr>
        <w:pStyle w:val="BodyText3"/>
        <w:rPr>
          <w:rFonts w:asciiTheme="minorHAnsi" w:hAnsiTheme="minorHAnsi"/>
          <w:sz w:val="24"/>
          <w:szCs w:val="24"/>
        </w:rPr>
      </w:pPr>
      <w:r w:rsidRPr="002B1C38">
        <w:rPr>
          <w:rFonts w:asciiTheme="minorHAnsi" w:hAnsiTheme="minorHAnsi"/>
          <w:sz w:val="24"/>
          <w:szCs w:val="24"/>
        </w:rPr>
        <w:t xml:space="preserve">            </w:t>
      </w:r>
    </w:p>
    <w:p w14:paraId="7B9BEB58" w14:textId="77777777" w:rsidR="00B237B6" w:rsidRPr="002B1C38" w:rsidRDefault="00B237B6" w:rsidP="00B237B6">
      <w:pPr>
        <w:pStyle w:val="WPNormal"/>
        <w:jc w:val="center"/>
        <w:rPr>
          <w:rFonts w:asciiTheme="minorHAnsi" w:hAnsiTheme="minorHAnsi" w:cs="Arial"/>
          <w:color w:val="002060"/>
        </w:rPr>
      </w:pPr>
    </w:p>
    <w:p w14:paraId="27A094B8" w14:textId="77777777" w:rsidR="00B237B6" w:rsidRPr="002B1C38" w:rsidRDefault="00B237B6" w:rsidP="00B237B6">
      <w:pPr>
        <w:pStyle w:val="WPNormal"/>
        <w:jc w:val="center"/>
        <w:rPr>
          <w:rFonts w:asciiTheme="minorHAnsi" w:hAnsiTheme="minorHAnsi" w:cs="Arial"/>
          <w:color w:val="002060"/>
        </w:rPr>
      </w:pPr>
    </w:p>
    <w:p w14:paraId="56761329" w14:textId="77777777" w:rsidR="00B237B6" w:rsidRPr="002B1C38" w:rsidRDefault="00B237B6" w:rsidP="00B237B6">
      <w:pPr>
        <w:pStyle w:val="WPNormal"/>
        <w:jc w:val="center"/>
        <w:rPr>
          <w:rFonts w:asciiTheme="minorHAnsi" w:hAnsiTheme="minorHAnsi" w:cs="Arial"/>
          <w:color w:val="002060"/>
        </w:rPr>
      </w:pPr>
    </w:p>
    <w:p w14:paraId="0AC9EE34" w14:textId="77777777" w:rsidR="00B237B6" w:rsidRDefault="00B237B6" w:rsidP="00B237B6">
      <w:pPr>
        <w:pStyle w:val="WPNormal"/>
        <w:jc w:val="center"/>
        <w:rPr>
          <w:rFonts w:asciiTheme="minorHAnsi" w:hAnsiTheme="minorHAnsi" w:cs="Arial"/>
          <w:color w:val="002060"/>
        </w:rPr>
      </w:pPr>
    </w:p>
    <w:p w14:paraId="2B97418D" w14:textId="77777777" w:rsidR="0036144E" w:rsidRPr="002B1C38" w:rsidRDefault="0036144E" w:rsidP="00B237B6">
      <w:pPr>
        <w:pStyle w:val="WPNormal"/>
        <w:jc w:val="center"/>
        <w:rPr>
          <w:rFonts w:asciiTheme="minorHAnsi" w:hAnsiTheme="minorHAnsi" w:cs="Arial"/>
          <w:color w:val="002060"/>
        </w:rPr>
      </w:pPr>
    </w:p>
    <w:p w14:paraId="49A0A977" w14:textId="2C493D6E" w:rsidR="005D0883" w:rsidRPr="002B1C38" w:rsidRDefault="002F0BAF" w:rsidP="0036144E">
      <w:pPr>
        <w:pStyle w:val="WPNormal"/>
        <w:jc w:val="center"/>
        <w:rPr>
          <w:rFonts w:asciiTheme="minorHAnsi" w:hAnsiTheme="minorHAnsi" w:cs="Arial"/>
        </w:rPr>
      </w:pPr>
      <w:r w:rsidRPr="002B1C38">
        <w:rPr>
          <w:rFonts w:asciiTheme="minorHAnsi" w:hAnsiTheme="minorHAnsi" w:cs="Arial"/>
        </w:rPr>
        <w:lastRenderedPageBreak/>
        <w:t>An</w:t>
      </w:r>
      <w:r w:rsidR="00B237B6" w:rsidRPr="002B1C38">
        <w:rPr>
          <w:rFonts w:asciiTheme="minorHAnsi" w:hAnsiTheme="minorHAnsi" w:cs="Arial"/>
        </w:rPr>
        <w:t>gus Housing Association Limited Registered Charity Number SC020981</w:t>
      </w:r>
    </w:p>
    <w:p w14:paraId="1DED9C7D" w14:textId="77777777" w:rsidR="005D0883" w:rsidRPr="00C96CBB" w:rsidRDefault="005D0883" w:rsidP="005D0883">
      <w:pPr>
        <w:rPr>
          <w:rFonts w:ascii="Aptos" w:hAnsi="Aptos"/>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573"/>
      </w:tblGrid>
      <w:tr w:rsidR="005D0883" w:rsidRPr="00C96CBB" w14:paraId="007CA4CC" w14:textId="77777777" w:rsidTr="00787110">
        <w:tc>
          <w:tcPr>
            <w:tcW w:w="5778" w:type="dxa"/>
            <w:tcBorders>
              <w:top w:val="single" w:sz="4" w:space="0" w:color="auto"/>
              <w:left w:val="single" w:sz="4" w:space="0" w:color="auto"/>
              <w:right w:val="single" w:sz="4" w:space="0" w:color="auto"/>
            </w:tcBorders>
          </w:tcPr>
          <w:p w14:paraId="6E3C8856" w14:textId="66DD39BE" w:rsidR="005D0883" w:rsidRPr="00C96CBB" w:rsidRDefault="00644B1D" w:rsidP="00754B5D">
            <w:pPr>
              <w:jc w:val="center"/>
              <w:rPr>
                <w:rFonts w:ascii="Aptos" w:hAnsi="Aptos"/>
                <w:b/>
                <w:sz w:val="22"/>
                <w:szCs w:val="22"/>
              </w:rPr>
            </w:pPr>
            <w:r w:rsidRPr="00C96CBB">
              <w:rPr>
                <w:rFonts w:ascii="Aptos" w:hAnsi="Aptos"/>
                <w:b/>
                <w:sz w:val="22"/>
                <w:szCs w:val="22"/>
              </w:rPr>
              <w:t>S</w:t>
            </w:r>
            <w:r w:rsidR="005D0883" w:rsidRPr="00C96CBB">
              <w:rPr>
                <w:rFonts w:ascii="Aptos" w:hAnsi="Aptos"/>
                <w:b/>
                <w:sz w:val="22"/>
                <w:szCs w:val="22"/>
              </w:rPr>
              <w:t>cottish Social Housing Charter</w:t>
            </w:r>
          </w:p>
        </w:tc>
        <w:tc>
          <w:tcPr>
            <w:tcW w:w="3573" w:type="dxa"/>
            <w:tcBorders>
              <w:top w:val="single" w:sz="4" w:space="0" w:color="auto"/>
              <w:left w:val="single" w:sz="4" w:space="0" w:color="auto"/>
              <w:right w:val="single" w:sz="4" w:space="0" w:color="auto"/>
            </w:tcBorders>
          </w:tcPr>
          <w:p w14:paraId="23474707" w14:textId="77777777" w:rsidR="005D0883" w:rsidRPr="00C96CBB" w:rsidRDefault="005D0883" w:rsidP="00754B5D">
            <w:pPr>
              <w:pStyle w:val="Heading1"/>
              <w:jc w:val="center"/>
              <w:rPr>
                <w:rFonts w:ascii="Aptos" w:hAnsi="Aptos"/>
                <w:bCs w:val="0"/>
              </w:rPr>
            </w:pPr>
            <w:r w:rsidRPr="00C96CBB">
              <w:rPr>
                <w:rFonts w:ascii="Aptos" w:hAnsi="Aptos"/>
                <w:bCs w:val="0"/>
              </w:rPr>
              <w:t>Outcomes</w:t>
            </w:r>
          </w:p>
        </w:tc>
      </w:tr>
      <w:tr w:rsidR="005D0883" w:rsidRPr="00C96CBB" w14:paraId="64E2ABE9" w14:textId="77777777" w:rsidTr="00787110">
        <w:tc>
          <w:tcPr>
            <w:tcW w:w="5778" w:type="dxa"/>
            <w:tcBorders>
              <w:left w:val="single" w:sz="4" w:space="0" w:color="auto"/>
            </w:tcBorders>
          </w:tcPr>
          <w:p w14:paraId="48CAE400" w14:textId="77777777" w:rsidR="005D0883" w:rsidRPr="00C96CBB" w:rsidRDefault="005D0883" w:rsidP="00754B5D">
            <w:pPr>
              <w:pStyle w:val="Heading2"/>
              <w:rPr>
                <w:rFonts w:ascii="Aptos" w:hAnsi="Aptos"/>
                <w:b w:val="0"/>
                <w:bCs w:val="0"/>
              </w:rPr>
            </w:pPr>
            <w:r w:rsidRPr="00C96CBB">
              <w:rPr>
                <w:rFonts w:ascii="Aptos" w:hAnsi="Aptos"/>
                <w:b w:val="0"/>
                <w:bCs w:val="0"/>
              </w:rPr>
              <w:t xml:space="preserve">This policy has been developed with reference to The Scottish Social Housing Charter </w:t>
            </w:r>
          </w:p>
        </w:tc>
        <w:tc>
          <w:tcPr>
            <w:tcW w:w="3573" w:type="dxa"/>
            <w:tcBorders>
              <w:right w:val="single" w:sz="4" w:space="0" w:color="auto"/>
            </w:tcBorders>
          </w:tcPr>
          <w:p w14:paraId="2A99AF31" w14:textId="77777777" w:rsidR="005D0883" w:rsidRPr="00C96CBB" w:rsidRDefault="005D0883" w:rsidP="00754B5D">
            <w:pPr>
              <w:rPr>
                <w:rFonts w:ascii="Aptos" w:hAnsi="Aptos"/>
                <w:sz w:val="22"/>
                <w:szCs w:val="22"/>
              </w:rPr>
            </w:pPr>
            <w:r w:rsidRPr="00C96CBB">
              <w:rPr>
                <w:rFonts w:ascii="Aptos" w:hAnsi="Aptos"/>
                <w:sz w:val="22"/>
                <w:szCs w:val="22"/>
              </w:rPr>
              <w:t xml:space="preserve">1 Equalities, 7,8 and 9 Housing Options, 10 Access to Social Housing, 11 Tenancy sustainment </w:t>
            </w:r>
          </w:p>
        </w:tc>
      </w:tr>
    </w:tbl>
    <w:p w14:paraId="71EB4289" w14:textId="77777777" w:rsidR="005D0883" w:rsidRPr="00C96CBB" w:rsidRDefault="005D0883" w:rsidP="005D0883">
      <w:pPr>
        <w:pStyle w:val="WPNormal"/>
        <w:rPr>
          <w:rFonts w:ascii="Aptos" w:hAnsi="Aptos"/>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573"/>
      </w:tblGrid>
      <w:tr w:rsidR="005D0883" w:rsidRPr="00C96CBB" w14:paraId="58B44AC8" w14:textId="77777777" w:rsidTr="00787110">
        <w:tc>
          <w:tcPr>
            <w:tcW w:w="5778" w:type="dxa"/>
            <w:tcBorders>
              <w:bottom w:val="single" w:sz="4" w:space="0" w:color="auto"/>
            </w:tcBorders>
          </w:tcPr>
          <w:p w14:paraId="69647D53" w14:textId="77777777" w:rsidR="005D0883" w:rsidRPr="00C96CBB" w:rsidRDefault="005D0883" w:rsidP="00754B5D">
            <w:pPr>
              <w:pStyle w:val="Heading2"/>
              <w:rPr>
                <w:rFonts w:ascii="Aptos" w:hAnsi="Aptos"/>
                <w:bCs w:val="0"/>
              </w:rPr>
            </w:pPr>
            <w:r w:rsidRPr="00C96CBB">
              <w:rPr>
                <w:rFonts w:ascii="Aptos" w:hAnsi="Aptos"/>
                <w:bCs w:val="0"/>
              </w:rPr>
              <w:t>Written By</w:t>
            </w:r>
          </w:p>
          <w:p w14:paraId="4F28C739" w14:textId="77777777" w:rsidR="005D0883" w:rsidRPr="00C96CBB" w:rsidRDefault="005D0883" w:rsidP="00754B5D">
            <w:pPr>
              <w:pStyle w:val="Heading2"/>
              <w:rPr>
                <w:rFonts w:ascii="Aptos" w:hAnsi="Aptos"/>
                <w:bCs w:val="0"/>
              </w:rPr>
            </w:pPr>
          </w:p>
        </w:tc>
        <w:tc>
          <w:tcPr>
            <w:tcW w:w="3573" w:type="dxa"/>
            <w:tcBorders>
              <w:bottom w:val="single" w:sz="4" w:space="0" w:color="auto"/>
            </w:tcBorders>
          </w:tcPr>
          <w:p w14:paraId="6A6FA906" w14:textId="77777777" w:rsidR="005D0883" w:rsidRPr="00C96CBB" w:rsidRDefault="005D0883" w:rsidP="00754B5D">
            <w:pPr>
              <w:rPr>
                <w:rFonts w:ascii="Aptos" w:hAnsi="Aptos"/>
                <w:sz w:val="22"/>
                <w:szCs w:val="22"/>
              </w:rPr>
            </w:pPr>
            <w:r w:rsidRPr="00C96CBB">
              <w:rPr>
                <w:rFonts w:ascii="Aptos" w:hAnsi="Aptos"/>
                <w:sz w:val="22"/>
                <w:szCs w:val="22"/>
              </w:rPr>
              <w:t>Linlay Anderson</w:t>
            </w:r>
          </w:p>
        </w:tc>
      </w:tr>
      <w:tr w:rsidR="005D0883" w:rsidRPr="00C96CBB" w14:paraId="2E138CC1" w14:textId="77777777" w:rsidTr="00787110">
        <w:tc>
          <w:tcPr>
            <w:tcW w:w="5778" w:type="dxa"/>
            <w:tcBorders>
              <w:bottom w:val="single" w:sz="4" w:space="0" w:color="auto"/>
            </w:tcBorders>
          </w:tcPr>
          <w:p w14:paraId="17A5C150" w14:textId="77777777" w:rsidR="005D0883" w:rsidRPr="00C96CBB" w:rsidRDefault="005D0883" w:rsidP="00754B5D">
            <w:pPr>
              <w:pStyle w:val="Heading2"/>
              <w:rPr>
                <w:rFonts w:ascii="Aptos" w:hAnsi="Aptos"/>
                <w:bCs w:val="0"/>
              </w:rPr>
            </w:pPr>
            <w:r w:rsidRPr="00C96CBB">
              <w:rPr>
                <w:rFonts w:ascii="Aptos" w:hAnsi="Aptos"/>
                <w:bCs w:val="0"/>
              </w:rPr>
              <w:t>Department</w:t>
            </w:r>
          </w:p>
          <w:p w14:paraId="4CF5C7B2" w14:textId="77777777" w:rsidR="005D0883" w:rsidRPr="00C96CBB" w:rsidRDefault="005D0883" w:rsidP="00754B5D">
            <w:pPr>
              <w:pStyle w:val="Heading2"/>
              <w:rPr>
                <w:rFonts w:ascii="Aptos" w:hAnsi="Aptos"/>
                <w:bCs w:val="0"/>
              </w:rPr>
            </w:pPr>
          </w:p>
        </w:tc>
        <w:tc>
          <w:tcPr>
            <w:tcW w:w="3573" w:type="dxa"/>
            <w:tcBorders>
              <w:bottom w:val="single" w:sz="4" w:space="0" w:color="auto"/>
            </w:tcBorders>
          </w:tcPr>
          <w:p w14:paraId="0BFAC2E5" w14:textId="77777777" w:rsidR="005D0883" w:rsidRPr="00C96CBB" w:rsidRDefault="005D0883" w:rsidP="00754B5D">
            <w:pPr>
              <w:rPr>
                <w:rFonts w:ascii="Aptos" w:hAnsi="Aptos"/>
                <w:sz w:val="22"/>
                <w:szCs w:val="22"/>
              </w:rPr>
            </w:pPr>
            <w:r w:rsidRPr="00C96CBB">
              <w:rPr>
                <w:rFonts w:ascii="Aptos" w:hAnsi="Aptos"/>
                <w:sz w:val="22"/>
                <w:szCs w:val="22"/>
              </w:rPr>
              <w:t>Housing Management</w:t>
            </w:r>
          </w:p>
        </w:tc>
      </w:tr>
    </w:tbl>
    <w:p w14:paraId="3BF20395" w14:textId="77777777" w:rsidR="005D0883" w:rsidRPr="00C96CBB" w:rsidRDefault="005D0883" w:rsidP="005D0883">
      <w:pPr>
        <w:pStyle w:val="WPNormal"/>
        <w:rPr>
          <w:rFonts w:ascii="Aptos" w:hAnsi="Aptos"/>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573"/>
      </w:tblGrid>
      <w:tr w:rsidR="005D0883" w:rsidRPr="00C96CBB" w14:paraId="78B973FB" w14:textId="77777777" w:rsidTr="00787110">
        <w:tc>
          <w:tcPr>
            <w:tcW w:w="5778" w:type="dxa"/>
          </w:tcPr>
          <w:p w14:paraId="4E80330F" w14:textId="77777777" w:rsidR="005D0883" w:rsidRPr="00C96CBB" w:rsidRDefault="005D0883" w:rsidP="00754B5D">
            <w:pPr>
              <w:pStyle w:val="Heading2"/>
              <w:rPr>
                <w:rFonts w:ascii="Aptos" w:hAnsi="Aptos"/>
                <w:bCs w:val="0"/>
              </w:rPr>
            </w:pPr>
            <w:r w:rsidRPr="00C96CBB">
              <w:rPr>
                <w:rFonts w:ascii="Aptos" w:hAnsi="Aptos"/>
                <w:bCs w:val="0"/>
              </w:rPr>
              <w:t>Approval Date by Committee</w:t>
            </w:r>
          </w:p>
          <w:p w14:paraId="2733AEAD" w14:textId="77777777" w:rsidR="005D0883" w:rsidRPr="00C96CBB" w:rsidRDefault="005D0883" w:rsidP="00754B5D">
            <w:pPr>
              <w:rPr>
                <w:rFonts w:ascii="Aptos" w:hAnsi="Aptos"/>
                <w:sz w:val="22"/>
                <w:szCs w:val="22"/>
              </w:rPr>
            </w:pPr>
          </w:p>
        </w:tc>
        <w:tc>
          <w:tcPr>
            <w:tcW w:w="3573" w:type="dxa"/>
          </w:tcPr>
          <w:p w14:paraId="04C0EFBA" w14:textId="7B93A8B7" w:rsidR="00822F5C" w:rsidRPr="00C96CBB" w:rsidRDefault="00A21BFF" w:rsidP="00754B5D">
            <w:pPr>
              <w:rPr>
                <w:rFonts w:ascii="Aptos" w:hAnsi="Aptos"/>
                <w:sz w:val="22"/>
                <w:szCs w:val="22"/>
              </w:rPr>
            </w:pPr>
            <w:r>
              <w:rPr>
                <w:rFonts w:ascii="Aptos" w:hAnsi="Aptos"/>
                <w:sz w:val="22"/>
                <w:szCs w:val="22"/>
              </w:rPr>
              <w:t>19</w:t>
            </w:r>
            <w:r w:rsidRPr="00A21BFF">
              <w:rPr>
                <w:rFonts w:ascii="Aptos" w:hAnsi="Aptos"/>
                <w:sz w:val="22"/>
                <w:szCs w:val="22"/>
                <w:vertAlign w:val="superscript"/>
              </w:rPr>
              <w:t>th</w:t>
            </w:r>
            <w:r>
              <w:rPr>
                <w:rFonts w:ascii="Aptos" w:hAnsi="Aptos"/>
                <w:sz w:val="22"/>
                <w:szCs w:val="22"/>
              </w:rPr>
              <w:t xml:space="preserve"> August 2026</w:t>
            </w:r>
          </w:p>
        </w:tc>
      </w:tr>
    </w:tbl>
    <w:p w14:paraId="75D6D4C2" w14:textId="77777777" w:rsidR="006D051C" w:rsidRDefault="006D051C" w:rsidP="006D051C">
      <w:pPr>
        <w:rPr>
          <w:rFonts w:asciiTheme="minorHAnsi" w:hAnsiTheme="minorHAnsi"/>
        </w:rPr>
      </w:pPr>
    </w:p>
    <w:tbl>
      <w:tblPr>
        <w:tblStyle w:val="TableGrid"/>
        <w:tblW w:w="9351" w:type="dxa"/>
        <w:tblLook w:val="04A0" w:firstRow="1" w:lastRow="0" w:firstColumn="1" w:lastColumn="0" w:noHBand="0" w:noVBand="1"/>
      </w:tblPr>
      <w:tblGrid>
        <w:gridCol w:w="9351"/>
      </w:tblGrid>
      <w:tr w:rsidR="00787110" w14:paraId="2606DA6B" w14:textId="77777777" w:rsidTr="00787110">
        <w:tc>
          <w:tcPr>
            <w:tcW w:w="9351" w:type="dxa"/>
          </w:tcPr>
          <w:p w14:paraId="65670CD2" w14:textId="77777777" w:rsidR="00787110" w:rsidRDefault="00787110" w:rsidP="006D051C">
            <w:pPr>
              <w:rPr>
                <w:rFonts w:asciiTheme="minorHAnsi" w:hAnsiTheme="minorHAnsi"/>
              </w:rPr>
            </w:pPr>
          </w:p>
          <w:p w14:paraId="02554E9B" w14:textId="77777777" w:rsidR="00787110" w:rsidRPr="00787110" w:rsidRDefault="00787110" w:rsidP="00787110">
            <w:pPr>
              <w:rPr>
                <w:rFonts w:ascii="Aptos" w:hAnsi="Aptos"/>
                <w:b/>
                <w:bCs/>
                <w:sz w:val="22"/>
                <w:szCs w:val="22"/>
              </w:rPr>
            </w:pPr>
            <w:r w:rsidRPr="00787110">
              <w:rPr>
                <w:rFonts w:ascii="Aptos" w:hAnsi="Aptos"/>
                <w:b/>
                <w:bCs/>
                <w:sz w:val="22"/>
                <w:szCs w:val="22"/>
              </w:rPr>
              <w:t>Policy drawn up with reference to:</w:t>
            </w:r>
          </w:p>
          <w:p w14:paraId="1DB54104" w14:textId="77777777" w:rsidR="00787110" w:rsidRPr="00C96CBB" w:rsidRDefault="00787110" w:rsidP="00787110">
            <w:pPr>
              <w:pStyle w:val="ListBullet"/>
              <w:tabs>
                <w:tab w:val="num" w:pos="360"/>
              </w:tabs>
              <w:spacing w:after="120" w:line="259" w:lineRule="auto"/>
              <w:rPr>
                <w:sz w:val="22"/>
              </w:rPr>
            </w:pPr>
            <w:r w:rsidRPr="00C96CBB">
              <w:rPr>
                <w:sz w:val="22"/>
              </w:rPr>
              <w:t>Housing (Scotland) Act 1987</w:t>
            </w:r>
          </w:p>
          <w:p w14:paraId="4D8BEC7A" w14:textId="77777777" w:rsidR="00787110" w:rsidRPr="00C96CBB" w:rsidRDefault="00787110" w:rsidP="00787110">
            <w:pPr>
              <w:pStyle w:val="ListBullet"/>
              <w:tabs>
                <w:tab w:val="num" w:pos="360"/>
              </w:tabs>
              <w:spacing w:after="120" w:line="259" w:lineRule="auto"/>
              <w:rPr>
                <w:sz w:val="22"/>
              </w:rPr>
            </w:pPr>
            <w:r w:rsidRPr="00C96CBB">
              <w:rPr>
                <w:sz w:val="22"/>
              </w:rPr>
              <w:t>Housing (Scotland) Act 2001, including sections 33 and 34 and Schedule 5, Part 2</w:t>
            </w:r>
          </w:p>
          <w:p w14:paraId="0BFBF3BE" w14:textId="77777777" w:rsidR="00787110" w:rsidRPr="00C96CBB" w:rsidRDefault="00787110" w:rsidP="00787110">
            <w:pPr>
              <w:pStyle w:val="ListBullet"/>
              <w:tabs>
                <w:tab w:val="num" w:pos="360"/>
              </w:tabs>
              <w:spacing w:after="120" w:line="259" w:lineRule="auto"/>
              <w:rPr>
                <w:sz w:val="22"/>
              </w:rPr>
            </w:pPr>
            <w:r w:rsidRPr="00C96CBB">
              <w:rPr>
                <w:sz w:val="22"/>
              </w:rPr>
              <w:t>Housing (Scotland) Act 2010</w:t>
            </w:r>
          </w:p>
          <w:p w14:paraId="5BC27752" w14:textId="77777777" w:rsidR="00787110" w:rsidRPr="00C96CBB" w:rsidRDefault="00787110" w:rsidP="00787110">
            <w:pPr>
              <w:pStyle w:val="ListBullet"/>
              <w:tabs>
                <w:tab w:val="num" w:pos="360"/>
              </w:tabs>
              <w:spacing w:after="120" w:line="259" w:lineRule="auto"/>
              <w:rPr>
                <w:sz w:val="22"/>
              </w:rPr>
            </w:pPr>
            <w:r w:rsidRPr="00C96CBB">
              <w:rPr>
                <w:sz w:val="22"/>
              </w:rPr>
              <w:t>Housing (Scotland) Act 2014</w:t>
            </w:r>
          </w:p>
          <w:p w14:paraId="4E686093" w14:textId="77777777" w:rsidR="00787110" w:rsidRPr="00C96CBB" w:rsidRDefault="00787110" w:rsidP="00787110">
            <w:pPr>
              <w:pStyle w:val="ListBullet"/>
              <w:tabs>
                <w:tab w:val="num" w:pos="360"/>
              </w:tabs>
              <w:spacing w:after="120" w:line="259" w:lineRule="auto"/>
              <w:rPr>
                <w:sz w:val="22"/>
              </w:rPr>
            </w:pPr>
            <w:r w:rsidRPr="00C96CBB">
              <w:rPr>
                <w:sz w:val="22"/>
              </w:rPr>
              <w:t>Housing (Scotland) Act 2025, where relevant to Scottish secure tenancy rights and notices</w:t>
            </w:r>
          </w:p>
          <w:p w14:paraId="154DD4CD" w14:textId="77777777" w:rsidR="00787110" w:rsidRPr="00C96CBB" w:rsidRDefault="00787110" w:rsidP="00787110">
            <w:pPr>
              <w:pStyle w:val="ListBullet"/>
              <w:tabs>
                <w:tab w:val="num" w:pos="360"/>
              </w:tabs>
              <w:spacing w:after="120" w:line="259" w:lineRule="auto"/>
              <w:rPr>
                <w:sz w:val="22"/>
              </w:rPr>
            </w:pPr>
            <w:r w:rsidRPr="00C96CBB">
              <w:rPr>
                <w:sz w:val="22"/>
              </w:rPr>
              <w:t>Homelessness etc. (Scotland) Act 2003</w:t>
            </w:r>
          </w:p>
          <w:p w14:paraId="65E97770" w14:textId="77777777" w:rsidR="00787110" w:rsidRPr="00C96CBB" w:rsidRDefault="00787110" w:rsidP="00787110">
            <w:pPr>
              <w:pStyle w:val="ListBullet"/>
              <w:tabs>
                <w:tab w:val="num" w:pos="360"/>
              </w:tabs>
              <w:spacing w:after="120" w:line="259" w:lineRule="auto"/>
              <w:rPr>
                <w:sz w:val="22"/>
              </w:rPr>
            </w:pPr>
            <w:r w:rsidRPr="00C96CBB">
              <w:rPr>
                <w:sz w:val="22"/>
              </w:rPr>
              <w:t>Matrimonial Homes (Family Protection) (Scotland) Act 1981</w:t>
            </w:r>
          </w:p>
          <w:p w14:paraId="48980204" w14:textId="77777777" w:rsidR="00787110" w:rsidRPr="00C96CBB" w:rsidRDefault="00787110" w:rsidP="00787110">
            <w:pPr>
              <w:pStyle w:val="ListBullet"/>
              <w:tabs>
                <w:tab w:val="num" w:pos="360"/>
              </w:tabs>
              <w:spacing w:after="120" w:line="259" w:lineRule="auto"/>
              <w:rPr>
                <w:sz w:val="22"/>
              </w:rPr>
            </w:pPr>
            <w:r w:rsidRPr="00C96CBB">
              <w:rPr>
                <w:sz w:val="22"/>
              </w:rPr>
              <w:t>Protection from Harassment Act 1997, where applicable in Scotland</w:t>
            </w:r>
          </w:p>
          <w:p w14:paraId="0A9236BD" w14:textId="77777777" w:rsidR="00787110" w:rsidRPr="00C96CBB" w:rsidRDefault="00787110" w:rsidP="00787110">
            <w:pPr>
              <w:pStyle w:val="ListBullet"/>
              <w:tabs>
                <w:tab w:val="num" w:pos="360"/>
              </w:tabs>
              <w:spacing w:after="120" w:line="259" w:lineRule="auto"/>
              <w:rPr>
                <w:sz w:val="22"/>
              </w:rPr>
            </w:pPr>
            <w:r w:rsidRPr="00C96CBB">
              <w:rPr>
                <w:sz w:val="22"/>
              </w:rPr>
              <w:t>Equality Act 2010, as it applies in Scotland</w:t>
            </w:r>
          </w:p>
          <w:p w14:paraId="264A97A0" w14:textId="77777777" w:rsidR="00787110" w:rsidRPr="00C96CBB" w:rsidRDefault="00787110" w:rsidP="00787110">
            <w:pPr>
              <w:pStyle w:val="ListBullet"/>
              <w:tabs>
                <w:tab w:val="num" w:pos="360"/>
              </w:tabs>
              <w:spacing w:after="120" w:line="259" w:lineRule="auto"/>
              <w:rPr>
                <w:sz w:val="22"/>
              </w:rPr>
            </w:pPr>
            <w:r w:rsidRPr="00C96CBB">
              <w:rPr>
                <w:sz w:val="22"/>
              </w:rPr>
              <w:t>Data Protection Act 2018 and UK GDPR, as they apply in Scotland</w:t>
            </w:r>
          </w:p>
          <w:p w14:paraId="16A799FD" w14:textId="77777777" w:rsidR="00787110" w:rsidRPr="00C96CBB" w:rsidRDefault="00787110" w:rsidP="00787110">
            <w:pPr>
              <w:pStyle w:val="ListBullet"/>
              <w:tabs>
                <w:tab w:val="num" w:pos="360"/>
              </w:tabs>
              <w:spacing w:after="120" w:line="259" w:lineRule="auto"/>
              <w:rPr>
                <w:sz w:val="22"/>
              </w:rPr>
            </w:pPr>
            <w:r w:rsidRPr="00C96CBB">
              <w:rPr>
                <w:sz w:val="22"/>
              </w:rPr>
              <w:t>Human Rights Act 1998, as it applies in Scotland</w:t>
            </w:r>
          </w:p>
          <w:p w14:paraId="36CB2F9D" w14:textId="77777777" w:rsidR="00787110" w:rsidRPr="00C96CBB" w:rsidRDefault="00787110" w:rsidP="00787110">
            <w:pPr>
              <w:pStyle w:val="ListBullet"/>
              <w:tabs>
                <w:tab w:val="num" w:pos="360"/>
              </w:tabs>
              <w:spacing w:after="120" w:line="259" w:lineRule="auto"/>
              <w:rPr>
                <w:sz w:val="22"/>
              </w:rPr>
            </w:pPr>
            <w:r w:rsidRPr="00C96CBB">
              <w:rPr>
                <w:sz w:val="22"/>
              </w:rPr>
              <w:t>United Nations Convention on the Rights of the Child (Incorporation) (Scotland) Act 2024</w:t>
            </w:r>
          </w:p>
          <w:p w14:paraId="2BEE766C" w14:textId="77777777" w:rsidR="00787110" w:rsidRPr="00C96CBB" w:rsidRDefault="00787110" w:rsidP="00787110">
            <w:pPr>
              <w:pStyle w:val="ListBullet"/>
              <w:tabs>
                <w:tab w:val="num" w:pos="360"/>
              </w:tabs>
              <w:spacing w:after="120" w:line="259" w:lineRule="auto"/>
              <w:rPr>
                <w:sz w:val="22"/>
              </w:rPr>
            </w:pPr>
            <w:r w:rsidRPr="00C96CBB">
              <w:rPr>
                <w:sz w:val="22"/>
              </w:rPr>
              <w:t>Domestic Abuse (Protection) (Scotland) Act 2021, where relevant to tenancy management and household risk</w:t>
            </w:r>
          </w:p>
          <w:p w14:paraId="7641E5A6" w14:textId="77777777" w:rsidR="00787110" w:rsidRPr="00C96CBB" w:rsidRDefault="00787110" w:rsidP="00787110">
            <w:pPr>
              <w:pStyle w:val="ListBullet"/>
              <w:tabs>
                <w:tab w:val="num" w:pos="360"/>
              </w:tabs>
              <w:spacing w:after="120" w:line="259" w:lineRule="auto"/>
              <w:rPr>
                <w:sz w:val="22"/>
              </w:rPr>
            </w:pPr>
            <w:r w:rsidRPr="00C96CBB">
              <w:rPr>
                <w:sz w:val="22"/>
              </w:rPr>
              <w:t>Scottish Social Housing Charter</w:t>
            </w:r>
          </w:p>
          <w:p w14:paraId="5913F808" w14:textId="77777777" w:rsidR="00787110" w:rsidRPr="00C96CBB" w:rsidRDefault="00787110" w:rsidP="00787110">
            <w:pPr>
              <w:pStyle w:val="ListBullet"/>
              <w:tabs>
                <w:tab w:val="num" w:pos="360"/>
              </w:tabs>
              <w:spacing w:after="120" w:line="259" w:lineRule="auto"/>
              <w:rPr>
                <w:sz w:val="22"/>
              </w:rPr>
            </w:pPr>
            <w:r w:rsidRPr="00C96CBB">
              <w:rPr>
                <w:sz w:val="22"/>
              </w:rPr>
              <w:t>Scottish Housing Regulator Regulatory Framework and related guidance</w:t>
            </w:r>
          </w:p>
          <w:p w14:paraId="6E1F25F1" w14:textId="77777777" w:rsidR="00787110" w:rsidRPr="00C96CBB" w:rsidRDefault="00787110" w:rsidP="00787110">
            <w:pPr>
              <w:pStyle w:val="ListBullet"/>
              <w:tabs>
                <w:tab w:val="num" w:pos="360"/>
              </w:tabs>
              <w:spacing w:after="120" w:line="259" w:lineRule="auto"/>
              <w:rPr>
                <w:sz w:val="22"/>
              </w:rPr>
            </w:pPr>
            <w:r w:rsidRPr="00C96CBB">
              <w:rPr>
                <w:sz w:val="22"/>
              </w:rPr>
              <w:t>Scottish Public Services Ombudsman complaints handling principles and good practice guidance</w:t>
            </w:r>
          </w:p>
          <w:p w14:paraId="3BFF82FD" w14:textId="77777777" w:rsidR="00787110" w:rsidRPr="00C96CBB" w:rsidRDefault="00787110" w:rsidP="00787110">
            <w:pPr>
              <w:pStyle w:val="ListBullet"/>
              <w:tabs>
                <w:tab w:val="num" w:pos="360"/>
              </w:tabs>
              <w:spacing w:after="120" w:line="259" w:lineRule="auto"/>
              <w:rPr>
                <w:sz w:val="22"/>
              </w:rPr>
            </w:pPr>
            <w:r w:rsidRPr="00C96CBB">
              <w:rPr>
                <w:sz w:val="22"/>
              </w:rPr>
              <w:t>Scottish Government Model Scottish Secure Tenancy Agreement 2026 and relevant Scottish Government tenancy guidance</w:t>
            </w:r>
          </w:p>
          <w:p w14:paraId="5451083D" w14:textId="77777777" w:rsidR="00787110" w:rsidRPr="00787110" w:rsidRDefault="00787110" w:rsidP="00787110">
            <w:pPr>
              <w:rPr>
                <w:rFonts w:asciiTheme="minorHAnsi" w:hAnsiTheme="minorHAnsi"/>
                <w:b/>
                <w:bCs/>
                <w:sz w:val="22"/>
                <w:szCs w:val="22"/>
              </w:rPr>
            </w:pPr>
          </w:p>
          <w:p w14:paraId="43B5EE51" w14:textId="77777777" w:rsidR="00787110" w:rsidRPr="00787110" w:rsidRDefault="00787110" w:rsidP="00787110">
            <w:pPr>
              <w:rPr>
                <w:rFonts w:asciiTheme="minorHAnsi" w:hAnsiTheme="minorHAnsi"/>
                <w:b/>
                <w:bCs/>
                <w:sz w:val="22"/>
                <w:szCs w:val="22"/>
              </w:rPr>
            </w:pPr>
            <w:r w:rsidRPr="00787110">
              <w:rPr>
                <w:rFonts w:asciiTheme="minorHAnsi" w:hAnsiTheme="minorHAnsi"/>
                <w:b/>
                <w:bCs/>
                <w:sz w:val="22"/>
                <w:szCs w:val="22"/>
              </w:rPr>
              <w:t>First Approved 28 January 2009</w:t>
            </w:r>
          </w:p>
          <w:p w14:paraId="35847151" w14:textId="77777777" w:rsidR="00787110" w:rsidRPr="00C96CBB" w:rsidRDefault="00787110" w:rsidP="00787110">
            <w:pPr>
              <w:rPr>
                <w:rFonts w:asciiTheme="minorHAnsi" w:hAnsiTheme="minorHAnsi"/>
                <w:sz w:val="22"/>
                <w:szCs w:val="22"/>
              </w:rPr>
            </w:pPr>
            <w:r w:rsidRPr="00C96CBB">
              <w:rPr>
                <w:rFonts w:asciiTheme="minorHAnsi" w:hAnsiTheme="minorHAnsi"/>
                <w:sz w:val="22"/>
                <w:szCs w:val="22"/>
              </w:rPr>
              <w:t>Reviewed September 2012 due to Welfare Reform.</w:t>
            </w:r>
          </w:p>
          <w:p w14:paraId="34FC0CBD" w14:textId="77777777" w:rsidR="00787110" w:rsidRPr="00C96CBB" w:rsidRDefault="00787110" w:rsidP="00787110">
            <w:pPr>
              <w:rPr>
                <w:rFonts w:asciiTheme="minorHAnsi" w:hAnsiTheme="minorHAnsi"/>
                <w:sz w:val="22"/>
                <w:szCs w:val="22"/>
              </w:rPr>
            </w:pPr>
            <w:r w:rsidRPr="00C96CBB">
              <w:rPr>
                <w:rFonts w:asciiTheme="minorHAnsi" w:hAnsiTheme="minorHAnsi"/>
                <w:sz w:val="22"/>
                <w:szCs w:val="22"/>
              </w:rPr>
              <w:t>Reviewed again in June 2013 due to Welfare Reform.</w:t>
            </w:r>
          </w:p>
          <w:p w14:paraId="4481801B" w14:textId="77777777" w:rsidR="00787110" w:rsidRPr="00C96CBB" w:rsidRDefault="00787110" w:rsidP="00787110">
            <w:pPr>
              <w:rPr>
                <w:rFonts w:asciiTheme="minorHAnsi" w:hAnsiTheme="minorHAnsi"/>
                <w:sz w:val="22"/>
                <w:szCs w:val="22"/>
              </w:rPr>
            </w:pPr>
            <w:r w:rsidRPr="00C96CBB">
              <w:rPr>
                <w:rFonts w:asciiTheme="minorHAnsi" w:hAnsiTheme="minorHAnsi"/>
                <w:sz w:val="22"/>
                <w:szCs w:val="22"/>
              </w:rPr>
              <w:t>Reviewed January 2020</w:t>
            </w:r>
          </w:p>
          <w:p w14:paraId="371C76A8" w14:textId="77777777" w:rsidR="00787110" w:rsidRPr="00C96CBB" w:rsidRDefault="00787110" w:rsidP="00787110">
            <w:pPr>
              <w:rPr>
                <w:rFonts w:asciiTheme="minorHAnsi" w:hAnsiTheme="minorHAnsi"/>
                <w:sz w:val="22"/>
                <w:szCs w:val="22"/>
              </w:rPr>
            </w:pPr>
            <w:r w:rsidRPr="00C96CBB">
              <w:rPr>
                <w:rFonts w:asciiTheme="minorHAnsi" w:hAnsiTheme="minorHAnsi"/>
                <w:sz w:val="22"/>
                <w:szCs w:val="22"/>
              </w:rPr>
              <w:t>Reviewed January 2025</w:t>
            </w:r>
          </w:p>
          <w:p w14:paraId="5A00E59E" w14:textId="77777777" w:rsidR="00787110" w:rsidRDefault="00787110" w:rsidP="00787110">
            <w:pPr>
              <w:rPr>
                <w:rFonts w:asciiTheme="minorHAnsi" w:hAnsiTheme="minorHAnsi"/>
                <w:sz w:val="22"/>
                <w:szCs w:val="22"/>
              </w:rPr>
            </w:pPr>
            <w:r w:rsidRPr="00C96CBB">
              <w:rPr>
                <w:rFonts w:asciiTheme="minorHAnsi" w:hAnsiTheme="minorHAnsi"/>
                <w:sz w:val="22"/>
                <w:szCs w:val="22"/>
              </w:rPr>
              <w:t>Reviewed October 2025</w:t>
            </w:r>
          </w:p>
          <w:p w14:paraId="7B596679" w14:textId="6997C296" w:rsidR="00787110" w:rsidRPr="00C96CBB" w:rsidRDefault="000B4CA9" w:rsidP="00787110">
            <w:pPr>
              <w:rPr>
                <w:rFonts w:asciiTheme="minorHAnsi" w:hAnsiTheme="minorHAnsi"/>
                <w:sz w:val="22"/>
                <w:szCs w:val="22"/>
              </w:rPr>
            </w:pPr>
            <w:r>
              <w:rPr>
                <w:rFonts w:asciiTheme="minorHAnsi" w:hAnsiTheme="minorHAnsi"/>
                <w:sz w:val="22"/>
                <w:szCs w:val="22"/>
              </w:rPr>
              <w:t>Reviewed July 2026</w:t>
            </w:r>
            <w:r w:rsidR="00A21BFF">
              <w:rPr>
                <w:rFonts w:asciiTheme="minorHAnsi" w:hAnsiTheme="minorHAnsi"/>
                <w:sz w:val="22"/>
                <w:szCs w:val="22"/>
              </w:rPr>
              <w:t xml:space="preserve"> following </w:t>
            </w:r>
            <w:r w:rsidR="004F2E1A">
              <w:rPr>
                <w:rFonts w:asciiTheme="minorHAnsi" w:hAnsiTheme="minorHAnsi"/>
                <w:sz w:val="22"/>
                <w:szCs w:val="22"/>
              </w:rPr>
              <w:t>SPSO complaint</w:t>
            </w:r>
          </w:p>
          <w:p w14:paraId="116DA212" w14:textId="77777777" w:rsidR="00787110" w:rsidRDefault="00787110" w:rsidP="006D051C">
            <w:pPr>
              <w:rPr>
                <w:rFonts w:asciiTheme="minorHAnsi" w:hAnsiTheme="minorHAnsi"/>
              </w:rPr>
            </w:pPr>
          </w:p>
          <w:p w14:paraId="268A630E" w14:textId="77777777" w:rsidR="00787110" w:rsidRDefault="00787110" w:rsidP="006D051C">
            <w:pPr>
              <w:rPr>
                <w:rFonts w:asciiTheme="minorHAnsi" w:hAnsiTheme="minorHAnsi"/>
              </w:rPr>
            </w:pPr>
          </w:p>
        </w:tc>
      </w:tr>
    </w:tbl>
    <w:p w14:paraId="588E92C2" w14:textId="1E45BBE1" w:rsidR="009834B5" w:rsidRPr="00C341DE" w:rsidRDefault="009834B5" w:rsidP="00C341DE">
      <w:pPr>
        <w:spacing w:before="100" w:beforeAutospacing="1" w:after="100" w:afterAutospacing="1" w:line="300" w:lineRule="atLeast"/>
        <w:outlineLvl w:val="2"/>
        <w:rPr>
          <w:rFonts w:ascii="Aptos" w:hAnsi="Aptos" w:cs="Segoe UI"/>
          <w:b/>
          <w:bCs/>
          <w:lang w:val="en-GB" w:eastAsia="en-GB"/>
        </w:rPr>
      </w:pPr>
    </w:p>
    <w:p w14:paraId="1AA4A8E2" w14:textId="10DF10A7" w:rsidR="005D0883" w:rsidRPr="002B1C38" w:rsidRDefault="005D0883" w:rsidP="005D0883">
      <w:pPr>
        <w:spacing w:line="360" w:lineRule="auto"/>
        <w:jc w:val="center"/>
        <w:rPr>
          <w:rFonts w:asciiTheme="minorHAnsi" w:hAnsiTheme="minorHAnsi" w:cs="Arial"/>
          <w:b/>
          <w:u w:val="single"/>
          <w:lang w:val="en-GB"/>
        </w:rPr>
      </w:pPr>
      <w:r w:rsidRPr="002B1C38">
        <w:rPr>
          <w:rFonts w:asciiTheme="minorHAnsi" w:hAnsiTheme="minorHAnsi" w:cs="Arial"/>
          <w:b/>
          <w:u w:val="single"/>
          <w:lang w:val="en-GB"/>
        </w:rPr>
        <w:t>ANGUS HOUSING ASSOCIATION LIMITED</w:t>
      </w:r>
    </w:p>
    <w:p w14:paraId="39EFAF9B" w14:textId="77777777" w:rsidR="005D0883" w:rsidRPr="002B1C38" w:rsidRDefault="005D0883" w:rsidP="005D0883">
      <w:pPr>
        <w:spacing w:line="360" w:lineRule="auto"/>
        <w:jc w:val="center"/>
        <w:rPr>
          <w:rFonts w:asciiTheme="minorHAnsi" w:hAnsiTheme="minorHAnsi" w:cs="Arial"/>
          <w:b/>
          <w:u w:val="single"/>
          <w:lang w:val="en-GB"/>
        </w:rPr>
      </w:pPr>
    </w:p>
    <w:p w14:paraId="3B30AE6B" w14:textId="77777777" w:rsidR="005D0883" w:rsidRPr="002B1C38" w:rsidRDefault="005D0883" w:rsidP="005D0883">
      <w:pPr>
        <w:spacing w:line="360" w:lineRule="auto"/>
        <w:jc w:val="center"/>
        <w:rPr>
          <w:rFonts w:asciiTheme="minorHAnsi" w:hAnsiTheme="minorHAnsi" w:cs="Arial"/>
          <w:b/>
          <w:u w:val="single"/>
          <w:lang w:val="en-GB"/>
        </w:rPr>
      </w:pPr>
      <w:r w:rsidRPr="002B1C38">
        <w:rPr>
          <w:rFonts w:asciiTheme="minorHAnsi" w:hAnsiTheme="minorHAnsi" w:cs="Arial"/>
          <w:b/>
          <w:u w:val="single"/>
          <w:lang w:val="en-GB"/>
        </w:rPr>
        <w:t>MUTUAL EXCHANGE POLICY</w:t>
      </w:r>
    </w:p>
    <w:p w14:paraId="52F0EED0" w14:textId="77777777" w:rsidR="002D55C0" w:rsidRPr="002D55C0" w:rsidRDefault="002D55C0" w:rsidP="002D55C0">
      <w:pPr>
        <w:pStyle w:val="Heading1"/>
        <w:spacing w:after="120" w:line="259" w:lineRule="auto"/>
        <w:rPr>
          <w:rFonts w:ascii="Aptos" w:hAnsi="Aptos"/>
          <w:sz w:val="24"/>
          <w:szCs w:val="24"/>
        </w:rPr>
      </w:pPr>
      <w:r w:rsidRPr="002D55C0">
        <w:rPr>
          <w:rFonts w:ascii="Aptos" w:hAnsi="Aptos"/>
          <w:sz w:val="24"/>
          <w:szCs w:val="24"/>
        </w:rPr>
        <w:t>1. Introduction</w:t>
      </w:r>
    </w:p>
    <w:p w14:paraId="0006861F" w14:textId="77777777" w:rsidR="002D55C0" w:rsidRPr="002D55C0" w:rsidRDefault="002D55C0" w:rsidP="002D55C0">
      <w:pPr>
        <w:spacing w:after="120" w:line="259" w:lineRule="auto"/>
        <w:rPr>
          <w:rFonts w:ascii="Aptos" w:hAnsi="Aptos"/>
        </w:rPr>
      </w:pPr>
      <w:r w:rsidRPr="002D55C0">
        <w:rPr>
          <w:rFonts w:ascii="Aptos" w:hAnsi="Aptos"/>
        </w:rPr>
        <w:t>Most Registered Social Landlords (RSLs) and local authorities have policies to assist tenants who wish to exchange homes with other Scottish secure tenants. Mutual exchanges can help tenants meet changing housing needs, access employment, move closer to family or support networks, and make better use of available social housing stock.</w:t>
      </w:r>
    </w:p>
    <w:p w14:paraId="1553FD99" w14:textId="6704E77A" w:rsidR="002D55C0" w:rsidRPr="002D55C0" w:rsidRDefault="002D55C0" w:rsidP="002D55C0">
      <w:pPr>
        <w:spacing w:after="120" w:line="259" w:lineRule="auto"/>
        <w:rPr>
          <w:rFonts w:ascii="Aptos" w:hAnsi="Aptos"/>
        </w:rPr>
      </w:pPr>
      <w:r w:rsidRPr="002D55C0">
        <w:rPr>
          <w:rFonts w:ascii="Aptos" w:hAnsi="Aptos"/>
        </w:rPr>
        <w:t>Angus Housing Association has developed this policy to provide a fair, clear and user-friendly approach to mutual exchange requests. The policy reflects current Scottish housing legislation, the Scottish Social Housing Charter and sector good practice. It aims to support tenants’ housing choices while ensuring that decisions are reasonable, proportionate, transparent and consistent.</w:t>
      </w:r>
    </w:p>
    <w:p w14:paraId="5234A21C" w14:textId="77777777" w:rsidR="002D55C0" w:rsidRPr="002D55C0" w:rsidRDefault="002D55C0" w:rsidP="002D55C0">
      <w:pPr>
        <w:pStyle w:val="Heading1"/>
        <w:spacing w:after="120" w:line="259" w:lineRule="auto"/>
        <w:rPr>
          <w:rFonts w:ascii="Aptos" w:hAnsi="Aptos"/>
          <w:sz w:val="24"/>
          <w:szCs w:val="24"/>
        </w:rPr>
      </w:pPr>
      <w:r w:rsidRPr="002D55C0">
        <w:rPr>
          <w:rFonts w:ascii="Aptos" w:hAnsi="Aptos"/>
          <w:sz w:val="24"/>
          <w:szCs w:val="24"/>
        </w:rPr>
        <w:t>2. Aims and Objectives</w:t>
      </w:r>
    </w:p>
    <w:p w14:paraId="483BF743" w14:textId="77777777" w:rsidR="002D55C0" w:rsidRPr="002D55C0" w:rsidRDefault="002D55C0" w:rsidP="002D55C0">
      <w:pPr>
        <w:pStyle w:val="ListNumber"/>
        <w:tabs>
          <w:tab w:val="num" w:pos="360"/>
        </w:tabs>
        <w:spacing w:after="120" w:line="259" w:lineRule="auto"/>
        <w:ind w:left="360" w:hanging="360"/>
        <w:rPr>
          <w:sz w:val="24"/>
          <w:szCs w:val="24"/>
        </w:rPr>
      </w:pPr>
      <w:r w:rsidRPr="002D55C0">
        <w:rPr>
          <w:sz w:val="24"/>
          <w:szCs w:val="24"/>
        </w:rPr>
        <w:t>To clarify the Association’s policy on mutual exchange applications.</w:t>
      </w:r>
    </w:p>
    <w:p w14:paraId="3F89ACF7" w14:textId="77777777" w:rsidR="002D55C0" w:rsidRPr="002D55C0" w:rsidRDefault="002D55C0" w:rsidP="002D55C0">
      <w:pPr>
        <w:pStyle w:val="ListNumber"/>
        <w:tabs>
          <w:tab w:val="num" w:pos="360"/>
        </w:tabs>
        <w:spacing w:after="120" w:line="259" w:lineRule="auto"/>
        <w:ind w:left="360" w:hanging="360"/>
        <w:rPr>
          <w:sz w:val="24"/>
          <w:szCs w:val="24"/>
        </w:rPr>
      </w:pPr>
      <w:r w:rsidRPr="002D55C0">
        <w:rPr>
          <w:sz w:val="24"/>
          <w:szCs w:val="24"/>
        </w:rPr>
        <w:t>To ensure consistency, fairness and transparency when considering applications.</w:t>
      </w:r>
    </w:p>
    <w:p w14:paraId="1FBD6197" w14:textId="77777777" w:rsidR="002D55C0" w:rsidRPr="002D55C0" w:rsidRDefault="002D55C0" w:rsidP="002D55C0">
      <w:pPr>
        <w:pStyle w:val="ListNumber"/>
        <w:tabs>
          <w:tab w:val="num" w:pos="360"/>
        </w:tabs>
        <w:spacing w:after="120" w:line="259" w:lineRule="auto"/>
        <w:ind w:left="360" w:hanging="360"/>
        <w:rPr>
          <w:sz w:val="24"/>
          <w:szCs w:val="24"/>
        </w:rPr>
      </w:pPr>
      <w:r w:rsidRPr="002D55C0">
        <w:rPr>
          <w:sz w:val="24"/>
          <w:szCs w:val="24"/>
        </w:rPr>
        <w:t xml:space="preserve">To respond positively to tenants who wish to mutually exchange within, into or </w:t>
      </w:r>
      <w:proofErr w:type="spellStart"/>
      <w:r w:rsidRPr="002D55C0">
        <w:rPr>
          <w:sz w:val="24"/>
          <w:szCs w:val="24"/>
        </w:rPr>
        <w:t>outwith</w:t>
      </w:r>
      <w:proofErr w:type="spellEnd"/>
      <w:r w:rsidRPr="002D55C0">
        <w:rPr>
          <w:sz w:val="24"/>
          <w:szCs w:val="24"/>
        </w:rPr>
        <w:t xml:space="preserve"> the Association’s area, including for employment, health, welfare, family or social support reasons.</w:t>
      </w:r>
    </w:p>
    <w:p w14:paraId="3F5599E0" w14:textId="77777777" w:rsidR="002D55C0" w:rsidRPr="002D55C0" w:rsidRDefault="002D55C0" w:rsidP="002D55C0">
      <w:pPr>
        <w:pStyle w:val="ListNumber"/>
        <w:tabs>
          <w:tab w:val="num" w:pos="360"/>
        </w:tabs>
        <w:spacing w:after="120" w:line="259" w:lineRule="auto"/>
        <w:ind w:left="360" w:hanging="360"/>
        <w:rPr>
          <w:sz w:val="24"/>
          <w:szCs w:val="24"/>
        </w:rPr>
      </w:pPr>
      <w:r w:rsidRPr="002D55C0">
        <w:rPr>
          <w:sz w:val="24"/>
          <w:szCs w:val="24"/>
        </w:rPr>
        <w:t>To support sustainable communities and effective use of the Association’s housing stock.</w:t>
      </w:r>
    </w:p>
    <w:p w14:paraId="51FCECCF" w14:textId="77777777" w:rsidR="002D55C0" w:rsidRPr="002D55C0" w:rsidRDefault="002D55C0" w:rsidP="002D55C0">
      <w:pPr>
        <w:pStyle w:val="ListNumber"/>
        <w:tabs>
          <w:tab w:val="num" w:pos="360"/>
        </w:tabs>
        <w:spacing w:after="120" w:line="259" w:lineRule="auto"/>
        <w:ind w:left="360" w:hanging="360"/>
        <w:rPr>
          <w:sz w:val="24"/>
          <w:szCs w:val="24"/>
        </w:rPr>
      </w:pPr>
      <w:r w:rsidRPr="002D55C0">
        <w:rPr>
          <w:sz w:val="24"/>
          <w:szCs w:val="24"/>
        </w:rPr>
        <w:t>To ensure decisions comply with Scottish housing legislation, relevant duties applying in Scotland, the Scottish Social Housing Charter and good practice guidance.</w:t>
      </w:r>
    </w:p>
    <w:p w14:paraId="6F159125" w14:textId="77777777" w:rsidR="002D55C0" w:rsidRPr="002D55C0" w:rsidRDefault="002D55C0" w:rsidP="002D55C0">
      <w:pPr>
        <w:pStyle w:val="ListNumber"/>
        <w:tabs>
          <w:tab w:val="num" w:pos="360"/>
        </w:tabs>
        <w:spacing w:after="120" w:line="259" w:lineRule="auto"/>
        <w:ind w:left="360" w:hanging="360"/>
        <w:rPr>
          <w:sz w:val="24"/>
          <w:szCs w:val="24"/>
        </w:rPr>
      </w:pPr>
      <w:r w:rsidRPr="002D55C0">
        <w:rPr>
          <w:sz w:val="24"/>
          <w:szCs w:val="24"/>
        </w:rPr>
        <w:t>To ensure decisions are proportionate and take account of individual household circumstances, including disability, caring responsibilities, domestic abuse, child wellbeing and other vulnerabilities where relevant.</w:t>
      </w:r>
    </w:p>
    <w:p w14:paraId="296E3161" w14:textId="77777777" w:rsidR="002D55C0" w:rsidRPr="002D55C0" w:rsidRDefault="002D55C0" w:rsidP="002D55C0">
      <w:pPr>
        <w:pStyle w:val="Heading1"/>
        <w:spacing w:after="120" w:line="259" w:lineRule="auto"/>
        <w:rPr>
          <w:rFonts w:ascii="Aptos" w:hAnsi="Aptos"/>
          <w:sz w:val="24"/>
          <w:szCs w:val="24"/>
        </w:rPr>
      </w:pPr>
      <w:r w:rsidRPr="002D55C0">
        <w:rPr>
          <w:rFonts w:ascii="Aptos" w:hAnsi="Aptos"/>
          <w:sz w:val="24"/>
          <w:szCs w:val="24"/>
        </w:rPr>
        <w:t>3. Legal Framework</w:t>
      </w:r>
    </w:p>
    <w:p w14:paraId="03691050" w14:textId="193B165D" w:rsidR="002D55C0" w:rsidRPr="002D55C0" w:rsidRDefault="002D55C0" w:rsidP="002D55C0">
      <w:pPr>
        <w:spacing w:after="120" w:line="259" w:lineRule="auto"/>
        <w:rPr>
          <w:rFonts w:ascii="Aptos" w:hAnsi="Aptos"/>
        </w:rPr>
      </w:pPr>
      <w:r w:rsidRPr="002D55C0">
        <w:rPr>
          <w:rFonts w:ascii="Aptos" w:hAnsi="Aptos"/>
        </w:rPr>
        <w:t xml:space="preserve">Section 33 of the Housing (Scotland) Act 2001 provides that every Scottish secure tenant may exchange their home with another Scottish secure tenant, </w:t>
      </w:r>
      <w:r w:rsidR="000A003E" w:rsidRPr="002D55C0">
        <w:rPr>
          <w:rFonts w:ascii="Aptos" w:hAnsi="Aptos"/>
        </w:rPr>
        <w:t>whether</w:t>
      </w:r>
      <w:r w:rsidRPr="002D55C0">
        <w:rPr>
          <w:rFonts w:ascii="Aptos" w:hAnsi="Aptos"/>
        </w:rPr>
        <w:t xml:space="preserve"> the landlord is the same, but only with the written consent of the landlord or landlords involved. A landlord may refuse consent only where there are reasonable grounds for doing so.</w:t>
      </w:r>
    </w:p>
    <w:p w14:paraId="70A377C5" w14:textId="77777777" w:rsidR="002D55C0" w:rsidRPr="002D55C0" w:rsidRDefault="002D55C0" w:rsidP="002D55C0">
      <w:pPr>
        <w:spacing w:after="120" w:line="259" w:lineRule="auto"/>
        <w:rPr>
          <w:rFonts w:ascii="Aptos" w:hAnsi="Aptos"/>
        </w:rPr>
      </w:pPr>
      <w:r w:rsidRPr="002D55C0">
        <w:rPr>
          <w:rFonts w:ascii="Aptos" w:hAnsi="Aptos"/>
        </w:rPr>
        <w:t xml:space="preserve">Short Scottish secure tenants have a right to seek a mutual exchange under section 34(6) of the Housing (Scotland) Act 2001. The Association will consider such requests in line with the 2001 Act, including the circumstances in which the short </w:t>
      </w:r>
      <w:r w:rsidRPr="002D55C0">
        <w:rPr>
          <w:rFonts w:ascii="Aptos" w:hAnsi="Aptos"/>
        </w:rPr>
        <w:lastRenderedPageBreak/>
        <w:t>Scottish secure tenancy was granted and whether the grounds for the short Scottish secure tenancy continue to apply.</w:t>
      </w:r>
    </w:p>
    <w:p w14:paraId="4A36AEEF" w14:textId="77777777" w:rsidR="002D55C0" w:rsidRPr="002D55C0" w:rsidRDefault="002D55C0" w:rsidP="002D55C0">
      <w:pPr>
        <w:spacing w:after="120" w:line="259" w:lineRule="auto"/>
        <w:rPr>
          <w:rFonts w:ascii="Aptos" w:hAnsi="Aptos"/>
        </w:rPr>
      </w:pPr>
      <w:r w:rsidRPr="002D55C0">
        <w:rPr>
          <w:rFonts w:ascii="Aptos" w:hAnsi="Aptos"/>
        </w:rPr>
        <w:t>The Association will consider all applications against the legislation and guidance listed at the beginning of this policy. This includes ensuring decisions are lawful, fair, proportionate, non-discriminatory and clearly explained in writing.</w:t>
      </w:r>
    </w:p>
    <w:p w14:paraId="0F363E28" w14:textId="77777777" w:rsidR="00221496" w:rsidRDefault="00221496" w:rsidP="002D55C0">
      <w:pPr>
        <w:pStyle w:val="Heading1"/>
        <w:spacing w:after="120" w:line="259" w:lineRule="auto"/>
        <w:rPr>
          <w:rFonts w:ascii="Aptos" w:hAnsi="Aptos"/>
          <w:sz w:val="24"/>
          <w:szCs w:val="24"/>
        </w:rPr>
      </w:pPr>
    </w:p>
    <w:p w14:paraId="2EE1F618" w14:textId="623E685A" w:rsidR="002D55C0" w:rsidRPr="002D55C0" w:rsidRDefault="002D55C0" w:rsidP="002D55C0">
      <w:pPr>
        <w:pStyle w:val="Heading1"/>
        <w:spacing w:after="120" w:line="259" w:lineRule="auto"/>
        <w:rPr>
          <w:rFonts w:ascii="Aptos" w:hAnsi="Aptos"/>
          <w:sz w:val="24"/>
          <w:szCs w:val="24"/>
        </w:rPr>
      </w:pPr>
      <w:r w:rsidRPr="002D55C0">
        <w:rPr>
          <w:rFonts w:ascii="Aptos" w:hAnsi="Aptos"/>
          <w:sz w:val="24"/>
          <w:szCs w:val="24"/>
        </w:rPr>
        <w:t>4. Human Rights, Equality and Children’s Rights</w:t>
      </w:r>
    </w:p>
    <w:p w14:paraId="2DAAC672" w14:textId="77777777" w:rsidR="002D55C0" w:rsidRPr="009342F8" w:rsidRDefault="002D55C0" w:rsidP="009342F8">
      <w:pPr>
        <w:pStyle w:val="Heading2"/>
        <w:spacing w:after="120" w:line="259" w:lineRule="auto"/>
        <w:jc w:val="left"/>
        <w:rPr>
          <w:rFonts w:ascii="Aptos" w:hAnsi="Aptos"/>
          <w:b w:val="0"/>
          <w:bCs w:val="0"/>
          <w:sz w:val="24"/>
          <w:szCs w:val="24"/>
          <w:u w:val="single"/>
        </w:rPr>
      </w:pPr>
      <w:r w:rsidRPr="009342F8">
        <w:rPr>
          <w:rFonts w:ascii="Aptos" w:hAnsi="Aptos"/>
          <w:b w:val="0"/>
          <w:bCs w:val="0"/>
          <w:sz w:val="24"/>
          <w:szCs w:val="24"/>
          <w:u w:val="single"/>
        </w:rPr>
        <w:t>4.1 Human Rights</w:t>
      </w:r>
    </w:p>
    <w:p w14:paraId="0B8BC115" w14:textId="77777777" w:rsidR="002D55C0" w:rsidRPr="002D55C0" w:rsidRDefault="002D55C0" w:rsidP="002D55C0">
      <w:pPr>
        <w:spacing w:after="120" w:line="259" w:lineRule="auto"/>
        <w:rPr>
          <w:rFonts w:ascii="Aptos" w:hAnsi="Aptos"/>
        </w:rPr>
      </w:pPr>
      <w:r w:rsidRPr="002D55C0">
        <w:rPr>
          <w:rFonts w:ascii="Aptos" w:hAnsi="Aptos"/>
        </w:rPr>
        <w:t xml:space="preserve">Angus Housing Association </w:t>
      </w:r>
      <w:proofErr w:type="spellStart"/>
      <w:r w:rsidRPr="002D55C0">
        <w:rPr>
          <w:rFonts w:ascii="Aptos" w:hAnsi="Aptos"/>
        </w:rPr>
        <w:t>recognises</w:t>
      </w:r>
      <w:proofErr w:type="spellEnd"/>
      <w:r w:rsidRPr="002D55C0">
        <w:rPr>
          <w:rFonts w:ascii="Aptos" w:hAnsi="Aptos"/>
        </w:rPr>
        <w:t xml:space="preserve"> that social housing services should be delivered in a way that respects dignity, fairness and non-discrimination. Decisions under this policy will be made in a manner that is transparent, proportionate and accountable.</w:t>
      </w:r>
    </w:p>
    <w:p w14:paraId="0B7B08EA" w14:textId="77777777" w:rsidR="002D55C0" w:rsidRPr="009342F8" w:rsidRDefault="002D55C0" w:rsidP="009342F8">
      <w:pPr>
        <w:pStyle w:val="Heading2"/>
        <w:spacing w:after="120" w:line="259" w:lineRule="auto"/>
        <w:jc w:val="left"/>
        <w:rPr>
          <w:rFonts w:ascii="Aptos" w:hAnsi="Aptos"/>
          <w:b w:val="0"/>
          <w:bCs w:val="0"/>
          <w:sz w:val="24"/>
          <w:szCs w:val="24"/>
          <w:u w:val="single"/>
        </w:rPr>
      </w:pPr>
      <w:r w:rsidRPr="009342F8">
        <w:rPr>
          <w:rFonts w:ascii="Aptos" w:hAnsi="Aptos"/>
          <w:b w:val="0"/>
          <w:bCs w:val="0"/>
          <w:sz w:val="24"/>
          <w:szCs w:val="24"/>
          <w:u w:val="single"/>
        </w:rPr>
        <w:t>4.2 Equality and Reasonable Adjustments</w:t>
      </w:r>
    </w:p>
    <w:p w14:paraId="0A11BB06" w14:textId="77777777" w:rsidR="002D55C0" w:rsidRPr="002D55C0" w:rsidRDefault="002D55C0" w:rsidP="002D55C0">
      <w:pPr>
        <w:spacing w:after="120" w:line="259" w:lineRule="auto"/>
        <w:rPr>
          <w:rFonts w:ascii="Aptos" w:hAnsi="Aptos"/>
        </w:rPr>
      </w:pPr>
      <w:r w:rsidRPr="002D55C0">
        <w:rPr>
          <w:rFonts w:ascii="Aptos" w:hAnsi="Aptos"/>
        </w:rPr>
        <w:t>The Association will ensure that this policy is implemented in a way that promotes equality of opportunity and avoids unlawful discrimination. The Association will make reasonable adjustments to the application and assessment process where required, including assistance with forms, accessible communication methods, translation, interpretation and alternative formats.</w:t>
      </w:r>
    </w:p>
    <w:p w14:paraId="654089A1" w14:textId="77777777" w:rsidR="002D55C0" w:rsidRPr="002D55C0" w:rsidRDefault="002D55C0" w:rsidP="002D55C0">
      <w:pPr>
        <w:spacing w:after="120" w:line="259" w:lineRule="auto"/>
        <w:rPr>
          <w:rFonts w:ascii="Aptos" w:hAnsi="Aptos"/>
        </w:rPr>
      </w:pPr>
      <w:r w:rsidRPr="002D55C0">
        <w:rPr>
          <w:rFonts w:ascii="Aptos" w:hAnsi="Aptos"/>
        </w:rPr>
        <w:t>The Association will consider whether a decision may have a particular impact on a person with a protected characteristic and will ensure that any refusal is justified, proportionate and based on relevant housing management considerations.</w:t>
      </w:r>
    </w:p>
    <w:p w14:paraId="77ECC505" w14:textId="77777777" w:rsidR="002D55C0" w:rsidRPr="009342F8" w:rsidRDefault="002D55C0" w:rsidP="009342F8">
      <w:pPr>
        <w:pStyle w:val="Heading2"/>
        <w:spacing w:after="120" w:line="259" w:lineRule="auto"/>
        <w:jc w:val="left"/>
        <w:rPr>
          <w:rFonts w:ascii="Aptos" w:hAnsi="Aptos"/>
          <w:b w:val="0"/>
          <w:bCs w:val="0"/>
          <w:sz w:val="24"/>
          <w:szCs w:val="24"/>
          <w:u w:val="single"/>
        </w:rPr>
      </w:pPr>
      <w:r w:rsidRPr="009342F8">
        <w:rPr>
          <w:rFonts w:ascii="Aptos" w:hAnsi="Aptos"/>
          <w:b w:val="0"/>
          <w:bCs w:val="0"/>
          <w:sz w:val="24"/>
          <w:szCs w:val="24"/>
          <w:u w:val="single"/>
        </w:rPr>
        <w:t>4.3 Children’s Rights and Wellbeing</w:t>
      </w:r>
    </w:p>
    <w:p w14:paraId="514F415C" w14:textId="77777777" w:rsidR="002D55C0" w:rsidRPr="002D55C0" w:rsidRDefault="002D55C0" w:rsidP="002D55C0">
      <w:pPr>
        <w:spacing w:after="120" w:line="259" w:lineRule="auto"/>
        <w:rPr>
          <w:rFonts w:ascii="Aptos" w:hAnsi="Aptos"/>
        </w:rPr>
      </w:pPr>
      <w:r w:rsidRPr="002D55C0">
        <w:rPr>
          <w:rFonts w:ascii="Aptos" w:hAnsi="Aptos"/>
        </w:rPr>
        <w:t>Where a mutual exchange application may affect children or young people living in either household, the Association will have due regard to their rights, wellbeing and best interests. This will include considering household composition, schooling, support networks, safety, health, overcrowding and suitability of the property.</w:t>
      </w:r>
    </w:p>
    <w:p w14:paraId="688B39AA" w14:textId="77777777" w:rsidR="002D55C0" w:rsidRPr="009342F8" w:rsidRDefault="002D55C0" w:rsidP="009342F8">
      <w:pPr>
        <w:pStyle w:val="Heading2"/>
        <w:spacing w:after="120" w:line="259" w:lineRule="auto"/>
        <w:jc w:val="left"/>
        <w:rPr>
          <w:rFonts w:ascii="Aptos" w:hAnsi="Aptos"/>
          <w:b w:val="0"/>
          <w:bCs w:val="0"/>
          <w:sz w:val="24"/>
          <w:szCs w:val="24"/>
          <w:u w:val="single"/>
        </w:rPr>
      </w:pPr>
      <w:r w:rsidRPr="009342F8">
        <w:rPr>
          <w:rFonts w:ascii="Aptos" w:hAnsi="Aptos"/>
          <w:b w:val="0"/>
          <w:bCs w:val="0"/>
          <w:sz w:val="24"/>
          <w:szCs w:val="24"/>
          <w:u w:val="single"/>
        </w:rPr>
        <w:t>4.4 Trauma-Informed Practice</w:t>
      </w:r>
    </w:p>
    <w:p w14:paraId="40302765" w14:textId="77777777" w:rsidR="002D55C0" w:rsidRPr="002D55C0" w:rsidRDefault="002D55C0" w:rsidP="002D55C0">
      <w:pPr>
        <w:spacing w:after="120" w:line="259" w:lineRule="auto"/>
        <w:rPr>
          <w:rFonts w:ascii="Aptos" w:hAnsi="Aptos"/>
        </w:rPr>
      </w:pPr>
      <w:r w:rsidRPr="002D55C0">
        <w:rPr>
          <w:rFonts w:ascii="Aptos" w:hAnsi="Aptos"/>
        </w:rPr>
        <w:t>Staff will use a respectful and trauma-informed approach when dealing with tenants who may be affected by domestic abuse, harassment, violence, mental ill health, disability, bereavement or other vulnerabilities. This does not remove the requirement to apply the policy, but it ensures that communication and decision-making are handled sensitively and fairly.</w:t>
      </w:r>
    </w:p>
    <w:p w14:paraId="1B9AFABE" w14:textId="77777777" w:rsidR="008065BA" w:rsidRDefault="008065BA" w:rsidP="002D55C0">
      <w:pPr>
        <w:pStyle w:val="Heading1"/>
        <w:spacing w:after="120" w:line="259" w:lineRule="auto"/>
        <w:rPr>
          <w:rFonts w:ascii="Aptos" w:hAnsi="Aptos"/>
          <w:sz w:val="24"/>
          <w:szCs w:val="24"/>
        </w:rPr>
      </w:pPr>
    </w:p>
    <w:p w14:paraId="1264121B" w14:textId="523A249A" w:rsidR="002D55C0" w:rsidRPr="002D55C0" w:rsidRDefault="002D55C0" w:rsidP="002D55C0">
      <w:pPr>
        <w:pStyle w:val="Heading1"/>
        <w:spacing w:after="120" w:line="259" w:lineRule="auto"/>
        <w:rPr>
          <w:rFonts w:ascii="Aptos" w:hAnsi="Aptos"/>
          <w:sz w:val="24"/>
          <w:szCs w:val="24"/>
        </w:rPr>
      </w:pPr>
      <w:r w:rsidRPr="002D55C0">
        <w:rPr>
          <w:rFonts w:ascii="Aptos" w:hAnsi="Aptos"/>
          <w:sz w:val="24"/>
          <w:szCs w:val="24"/>
        </w:rPr>
        <w:t>5. General Principles</w:t>
      </w:r>
    </w:p>
    <w:p w14:paraId="24174311" w14:textId="77777777" w:rsidR="002D55C0" w:rsidRPr="002D55C0" w:rsidRDefault="002D55C0" w:rsidP="002D55C0">
      <w:pPr>
        <w:spacing w:after="120" w:line="259" w:lineRule="auto"/>
        <w:rPr>
          <w:rFonts w:ascii="Aptos" w:hAnsi="Aptos"/>
        </w:rPr>
      </w:pPr>
      <w:r w:rsidRPr="002D55C0">
        <w:rPr>
          <w:rFonts w:ascii="Aptos" w:hAnsi="Aptos"/>
        </w:rPr>
        <w:t>The Association will permit tenants to exchange properties with other Scottish secure tenants, including tenants of other Registered Social Landlords and local authorities, where the required written consent has been granted by all relevant landlords and there are no reasonable grounds for refusal.</w:t>
      </w:r>
    </w:p>
    <w:p w14:paraId="2B74B1ED" w14:textId="77777777" w:rsidR="002D55C0" w:rsidRPr="00402837" w:rsidRDefault="002D55C0" w:rsidP="00402837">
      <w:pPr>
        <w:pStyle w:val="Heading2"/>
        <w:spacing w:after="120" w:line="259" w:lineRule="auto"/>
        <w:jc w:val="left"/>
        <w:rPr>
          <w:rFonts w:ascii="Aptos" w:hAnsi="Aptos"/>
          <w:b w:val="0"/>
          <w:bCs w:val="0"/>
          <w:sz w:val="24"/>
          <w:szCs w:val="24"/>
          <w:u w:val="single"/>
        </w:rPr>
      </w:pPr>
      <w:r w:rsidRPr="00402837">
        <w:rPr>
          <w:rFonts w:ascii="Aptos" w:hAnsi="Aptos"/>
          <w:b w:val="0"/>
          <w:bCs w:val="0"/>
          <w:sz w:val="24"/>
          <w:szCs w:val="24"/>
          <w:u w:val="single"/>
        </w:rPr>
        <w:lastRenderedPageBreak/>
        <w:t>5.1 Application</w:t>
      </w:r>
    </w:p>
    <w:p w14:paraId="36DAA744" w14:textId="77777777" w:rsidR="002D55C0" w:rsidRPr="002D55C0" w:rsidRDefault="002D55C0" w:rsidP="002D55C0">
      <w:pPr>
        <w:spacing w:after="120" w:line="259" w:lineRule="auto"/>
        <w:rPr>
          <w:rFonts w:ascii="Aptos" w:hAnsi="Aptos"/>
        </w:rPr>
      </w:pPr>
      <w:r w:rsidRPr="002D55C0">
        <w:rPr>
          <w:rFonts w:ascii="Aptos" w:hAnsi="Aptos"/>
        </w:rPr>
        <w:t>All mutual exchange applications must be made in writing by all parties. Each applicant must complete and submit the Association’s current Mutual Exchange Application Form and provide any information reasonably required to assess the request.</w:t>
      </w:r>
    </w:p>
    <w:p w14:paraId="754DAEAA" w14:textId="77777777" w:rsidR="002D55C0" w:rsidRPr="00402837" w:rsidRDefault="002D55C0" w:rsidP="00402837">
      <w:pPr>
        <w:pStyle w:val="Heading2"/>
        <w:spacing w:after="120" w:line="259" w:lineRule="auto"/>
        <w:jc w:val="left"/>
        <w:rPr>
          <w:rFonts w:ascii="Aptos" w:hAnsi="Aptos"/>
          <w:b w:val="0"/>
          <w:bCs w:val="0"/>
          <w:sz w:val="24"/>
          <w:szCs w:val="24"/>
          <w:u w:val="single"/>
        </w:rPr>
      </w:pPr>
      <w:r w:rsidRPr="00402837">
        <w:rPr>
          <w:rFonts w:ascii="Aptos" w:hAnsi="Aptos"/>
          <w:b w:val="0"/>
          <w:bCs w:val="0"/>
          <w:sz w:val="24"/>
          <w:szCs w:val="24"/>
          <w:u w:val="single"/>
        </w:rPr>
        <w:t>5.2 Notification of Decision</w:t>
      </w:r>
    </w:p>
    <w:p w14:paraId="4032B85A" w14:textId="77777777" w:rsidR="002D55C0" w:rsidRPr="002D55C0" w:rsidRDefault="002D55C0" w:rsidP="002D55C0">
      <w:pPr>
        <w:spacing w:after="120" w:line="259" w:lineRule="auto"/>
        <w:rPr>
          <w:rFonts w:ascii="Aptos" w:hAnsi="Aptos"/>
        </w:rPr>
      </w:pPr>
      <w:r w:rsidRPr="002D55C0">
        <w:rPr>
          <w:rFonts w:ascii="Aptos" w:hAnsi="Aptos"/>
        </w:rPr>
        <w:t>The Association will notify the tenant in writing of its decision within 28 days of receiving a valid mutual exchange application. The timescale may be extended where the applicant has not provided sufficient information to allow the request to be considered.</w:t>
      </w:r>
    </w:p>
    <w:p w14:paraId="74D733A0" w14:textId="77777777" w:rsidR="002D55C0" w:rsidRPr="002D55C0" w:rsidRDefault="002D55C0" w:rsidP="002D55C0">
      <w:pPr>
        <w:spacing w:after="120" w:line="259" w:lineRule="auto"/>
        <w:rPr>
          <w:rFonts w:ascii="Aptos" w:hAnsi="Aptos"/>
        </w:rPr>
      </w:pPr>
      <w:r w:rsidRPr="002D55C0">
        <w:rPr>
          <w:rFonts w:ascii="Aptos" w:hAnsi="Aptos"/>
        </w:rPr>
        <w:t>Where an application is refused, the Association will provide the reasons for refusal in writing. If the refusal relates to matters that can be addressed quickly, the Association may invite the applicant to resubmit or provide further information, using the existing application where appropriate.</w:t>
      </w:r>
    </w:p>
    <w:p w14:paraId="7EE486A5" w14:textId="77777777" w:rsidR="002D55C0" w:rsidRPr="002D55C0" w:rsidRDefault="002D55C0" w:rsidP="002D55C0">
      <w:pPr>
        <w:spacing w:after="120" w:line="259" w:lineRule="auto"/>
        <w:rPr>
          <w:rFonts w:ascii="Aptos" w:hAnsi="Aptos"/>
        </w:rPr>
      </w:pPr>
      <w:r w:rsidRPr="002D55C0">
        <w:rPr>
          <w:rFonts w:ascii="Aptos" w:hAnsi="Aptos"/>
        </w:rPr>
        <w:t>The Association must respond within the statutory timescale. Failure to respond within 28 days of receiving the application may result in consent being treated as having been granted in terms of Schedule 5, Part 2 of the Housing (Scotland) Act 2001.</w:t>
      </w:r>
    </w:p>
    <w:p w14:paraId="200E5C28" w14:textId="77777777" w:rsidR="002D55C0" w:rsidRPr="00402837" w:rsidRDefault="002D55C0" w:rsidP="00402837">
      <w:pPr>
        <w:pStyle w:val="Heading2"/>
        <w:spacing w:after="120" w:line="259" w:lineRule="auto"/>
        <w:jc w:val="left"/>
        <w:rPr>
          <w:rFonts w:ascii="Aptos" w:hAnsi="Aptos"/>
          <w:b w:val="0"/>
          <w:bCs w:val="0"/>
          <w:sz w:val="24"/>
          <w:szCs w:val="24"/>
          <w:u w:val="single"/>
        </w:rPr>
      </w:pPr>
      <w:r w:rsidRPr="00402837">
        <w:rPr>
          <w:rFonts w:ascii="Aptos" w:hAnsi="Aptos"/>
          <w:b w:val="0"/>
          <w:bCs w:val="0"/>
          <w:sz w:val="24"/>
          <w:szCs w:val="24"/>
          <w:u w:val="single"/>
        </w:rPr>
        <w:t>5.3 Case-by-Case Assessment</w:t>
      </w:r>
    </w:p>
    <w:p w14:paraId="61F239E1" w14:textId="77777777" w:rsidR="002D55C0" w:rsidRPr="002D55C0" w:rsidRDefault="002D55C0" w:rsidP="002D55C0">
      <w:pPr>
        <w:spacing w:after="120" w:line="259" w:lineRule="auto"/>
        <w:rPr>
          <w:rFonts w:ascii="Aptos" w:hAnsi="Aptos"/>
        </w:rPr>
      </w:pPr>
      <w:r w:rsidRPr="002D55C0">
        <w:rPr>
          <w:rFonts w:ascii="Aptos" w:hAnsi="Aptos"/>
        </w:rPr>
        <w:t>Each application will be assessed on its individual merits. The Association will consider the facts of the case, relevant tenancy history, household circumstances, property suitability, any risks identified, and the need to make best use of social housing stock.</w:t>
      </w:r>
    </w:p>
    <w:p w14:paraId="24A3544B" w14:textId="77777777" w:rsidR="002D55C0" w:rsidRPr="002D55C0" w:rsidRDefault="002D55C0" w:rsidP="002D55C0">
      <w:pPr>
        <w:pStyle w:val="Heading1"/>
        <w:spacing w:after="120" w:line="259" w:lineRule="auto"/>
        <w:rPr>
          <w:rFonts w:ascii="Aptos" w:hAnsi="Aptos"/>
          <w:sz w:val="24"/>
          <w:szCs w:val="24"/>
        </w:rPr>
      </w:pPr>
      <w:r w:rsidRPr="002D55C0">
        <w:rPr>
          <w:rFonts w:ascii="Aptos" w:hAnsi="Aptos"/>
          <w:sz w:val="24"/>
          <w:szCs w:val="24"/>
        </w:rPr>
        <w:t>6. Reasons for Which an Application May be Refused</w:t>
      </w:r>
    </w:p>
    <w:p w14:paraId="28E575C6" w14:textId="77777777" w:rsidR="002D55C0" w:rsidRPr="002D55C0" w:rsidRDefault="002D55C0" w:rsidP="002D55C0">
      <w:pPr>
        <w:spacing w:after="120" w:line="259" w:lineRule="auto"/>
        <w:rPr>
          <w:rFonts w:ascii="Aptos" w:hAnsi="Aptos"/>
        </w:rPr>
      </w:pPr>
      <w:r w:rsidRPr="002D55C0">
        <w:rPr>
          <w:rFonts w:ascii="Aptos" w:hAnsi="Aptos"/>
        </w:rPr>
        <w:t>The Association may refuse a mutual exchange application where there are reasonable grounds for doing so. The list below is not exhaustive. The Association will provide written reasons for any refusal.</w:t>
      </w:r>
    </w:p>
    <w:p w14:paraId="05E3ED12"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 xml:space="preserve">A Notice of Proceedings for Recovery of Possession has been served </w:t>
      </w:r>
      <w:proofErr w:type="gramStart"/>
      <w:r w:rsidRPr="002D55C0">
        <w:rPr>
          <w:sz w:val="24"/>
          <w:szCs w:val="24"/>
        </w:rPr>
        <w:t>on</w:t>
      </w:r>
      <w:proofErr w:type="gramEnd"/>
      <w:r w:rsidRPr="002D55C0">
        <w:rPr>
          <w:sz w:val="24"/>
          <w:szCs w:val="24"/>
        </w:rPr>
        <w:t xml:space="preserve"> the tenant on any of the conduct grounds set out in paragraphs 1 to 7 of Schedule 2 of the Housing (Scotland) Act 2001.</w:t>
      </w:r>
    </w:p>
    <w:p w14:paraId="140A919A"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An order for recovery of possession has been made against the tenant.</w:t>
      </w:r>
    </w:p>
    <w:p w14:paraId="74806E0D"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The current property was provided by the Association in connection with the tenant’s employment with the Association.</w:t>
      </w:r>
    </w:p>
    <w:p w14:paraId="7E0ACFE5"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 xml:space="preserve">The property has been designed or adapted for occupation by a person with </w:t>
      </w:r>
      <w:proofErr w:type="gramStart"/>
      <w:r w:rsidRPr="002D55C0">
        <w:rPr>
          <w:sz w:val="24"/>
          <w:szCs w:val="24"/>
        </w:rPr>
        <w:t>particular needs</w:t>
      </w:r>
      <w:proofErr w:type="gramEnd"/>
      <w:r w:rsidRPr="002D55C0">
        <w:rPr>
          <w:sz w:val="24"/>
          <w:szCs w:val="24"/>
        </w:rPr>
        <w:t xml:space="preserve"> and, if the exchange took place, there would no longer be a person with those needs occupying the property.</w:t>
      </w:r>
    </w:p>
    <w:p w14:paraId="7FD68909"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The proposed exchange would lead to overcrowding or would otherwise make the property unsuitable for the household.</w:t>
      </w:r>
    </w:p>
    <w:p w14:paraId="6454206B"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lastRenderedPageBreak/>
        <w:t>The proposed exchange would result in substantial under-occupation and would not demonstrate best use of the accommodation available, taking account of household composition, caring responsibilities, disability, welfare needs and other relevant circumstances.</w:t>
      </w:r>
    </w:p>
    <w:p w14:paraId="0A6C9658"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The property is unsuitable for either applicant’s housing, health, disability, welfare or household needs.</w:t>
      </w:r>
    </w:p>
    <w:p w14:paraId="02D06FE9"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The property has been provided as part of a project, protocol or nomination arrangement with another agency and the proposed exchange would be inconsistent with the purpose of that arrangement.</w:t>
      </w:r>
    </w:p>
    <w:p w14:paraId="1161EB21"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There is substantial damage, disrepair or neglect to the property caused by the tenant, a household member or an invited visitor, and the matter has not been resolved to the Association’s satisfaction.</w:t>
      </w:r>
    </w:p>
    <w:p w14:paraId="74860E47"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The applicants have exchanged, or attempted to exchange, before written permission has been granted by all landlords and a date agreed for the new tenancy to commence.</w:t>
      </w:r>
    </w:p>
    <w:p w14:paraId="55DEC0F6"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One party does not complete the exchange within the agreed arrangements. In such circumstances, the Association may require the other party to return to their original property where this is lawful and reasonable.</w:t>
      </w:r>
    </w:p>
    <w:p w14:paraId="5D9D9148"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Either applicant has deliberately omitted, distorted or provided false or misleading information in connection with the application.</w:t>
      </w:r>
    </w:p>
    <w:p w14:paraId="00DB50ED"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 xml:space="preserve">There is evidence of serious tenancy misconduct, anti-social </w:t>
      </w:r>
      <w:proofErr w:type="spellStart"/>
      <w:r w:rsidRPr="002D55C0">
        <w:rPr>
          <w:sz w:val="24"/>
          <w:szCs w:val="24"/>
        </w:rPr>
        <w:t>behaviour</w:t>
      </w:r>
      <w:proofErr w:type="spellEnd"/>
      <w:r w:rsidRPr="002D55C0">
        <w:rPr>
          <w:sz w:val="24"/>
          <w:szCs w:val="24"/>
        </w:rPr>
        <w:t xml:space="preserve">, harassment, nuisance, tenancy fraud or other breaches of tenancy obligations. The Association will consider the seriousness, frequency, recency and relevance of </w:t>
      </w:r>
      <w:proofErr w:type="gramStart"/>
      <w:r w:rsidRPr="002D55C0">
        <w:rPr>
          <w:sz w:val="24"/>
          <w:szCs w:val="24"/>
        </w:rPr>
        <w:t xml:space="preserve">the </w:t>
      </w:r>
      <w:proofErr w:type="spellStart"/>
      <w:r w:rsidRPr="002D55C0">
        <w:rPr>
          <w:sz w:val="24"/>
          <w:szCs w:val="24"/>
        </w:rPr>
        <w:t>behaviour</w:t>
      </w:r>
      <w:proofErr w:type="spellEnd"/>
      <w:proofErr w:type="gramEnd"/>
      <w:r w:rsidRPr="002D55C0">
        <w:rPr>
          <w:sz w:val="24"/>
          <w:szCs w:val="24"/>
        </w:rPr>
        <w:t xml:space="preserve"> before reaching a decision.</w:t>
      </w:r>
    </w:p>
    <w:p w14:paraId="78BC386F"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There is clear evidence that either applicant has caused significant tenancy management problems in the five years preceding the application, including breaches of tenancy agreement where the Association or another landlord has taken action to remedy the matter even where formal legal proceedings were not raised.</w:t>
      </w:r>
    </w:p>
    <w:p w14:paraId="67CDFE32" w14:textId="77777777" w:rsidR="002D55C0" w:rsidRPr="00402837" w:rsidRDefault="002D55C0" w:rsidP="00402837">
      <w:pPr>
        <w:pStyle w:val="Heading2"/>
        <w:spacing w:after="120" w:line="259" w:lineRule="auto"/>
        <w:jc w:val="left"/>
        <w:rPr>
          <w:rFonts w:ascii="Aptos" w:hAnsi="Aptos"/>
          <w:b w:val="0"/>
          <w:bCs w:val="0"/>
          <w:sz w:val="24"/>
          <w:szCs w:val="24"/>
          <w:u w:val="single"/>
        </w:rPr>
      </w:pPr>
      <w:r w:rsidRPr="00402837">
        <w:rPr>
          <w:rFonts w:ascii="Aptos" w:hAnsi="Aptos"/>
          <w:b w:val="0"/>
          <w:bCs w:val="0"/>
          <w:sz w:val="24"/>
          <w:szCs w:val="24"/>
          <w:u w:val="single"/>
        </w:rPr>
        <w:t>6.1 Tenancy-Related Debt</w:t>
      </w:r>
    </w:p>
    <w:p w14:paraId="649DC3EA" w14:textId="77777777" w:rsidR="002D55C0" w:rsidRPr="002D55C0" w:rsidRDefault="002D55C0" w:rsidP="002D55C0">
      <w:pPr>
        <w:spacing w:after="120" w:line="259" w:lineRule="auto"/>
        <w:rPr>
          <w:rFonts w:ascii="Aptos" w:hAnsi="Aptos"/>
        </w:rPr>
      </w:pPr>
      <w:r w:rsidRPr="002D55C0">
        <w:rPr>
          <w:rFonts w:ascii="Aptos" w:hAnsi="Aptos"/>
        </w:rPr>
        <w:t>Angus Housing Association may refuse a mutual exchange application where either applicant has an outstanding tenancy-related debt or other financial liability owed to a current or former social landlord arising within the five years preceding the application.</w:t>
      </w:r>
    </w:p>
    <w:p w14:paraId="1371DC99" w14:textId="77777777" w:rsidR="002D55C0" w:rsidRPr="002D55C0" w:rsidRDefault="002D55C0" w:rsidP="002D55C0">
      <w:pPr>
        <w:spacing w:after="120" w:line="259" w:lineRule="auto"/>
        <w:rPr>
          <w:rFonts w:ascii="Aptos" w:hAnsi="Aptos"/>
        </w:rPr>
      </w:pPr>
      <w:r w:rsidRPr="002D55C0">
        <w:rPr>
          <w:rFonts w:ascii="Aptos" w:hAnsi="Aptos"/>
        </w:rPr>
        <w:t>In reaching its decision, the Association will consider:</w:t>
      </w:r>
    </w:p>
    <w:p w14:paraId="1228A556"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the value and nature of the debt;</w:t>
      </w:r>
    </w:p>
    <w:p w14:paraId="3C5BA038"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whether the debt is current, former, disputed or subject to a repayment arrangement;</w:t>
      </w:r>
    </w:p>
    <w:p w14:paraId="221E653A" w14:textId="5DA9E9FC" w:rsidR="002D55C0" w:rsidRPr="002D55C0" w:rsidRDefault="002D55C0" w:rsidP="002D55C0">
      <w:pPr>
        <w:pStyle w:val="ListBullet"/>
        <w:tabs>
          <w:tab w:val="num" w:pos="360"/>
        </w:tabs>
        <w:spacing w:after="120" w:line="259" w:lineRule="auto"/>
        <w:rPr>
          <w:sz w:val="24"/>
          <w:szCs w:val="24"/>
        </w:rPr>
      </w:pPr>
      <w:r w:rsidRPr="002D55C0">
        <w:rPr>
          <w:sz w:val="24"/>
          <w:szCs w:val="24"/>
        </w:rPr>
        <w:t xml:space="preserve">whether the applicant has </w:t>
      </w:r>
      <w:r w:rsidR="00D30E85" w:rsidRPr="002D55C0">
        <w:rPr>
          <w:sz w:val="24"/>
          <w:szCs w:val="24"/>
        </w:rPr>
        <w:t>entered</w:t>
      </w:r>
      <w:r w:rsidRPr="002D55C0">
        <w:rPr>
          <w:sz w:val="24"/>
          <w:szCs w:val="24"/>
        </w:rPr>
        <w:t xml:space="preserve"> and maintained a repayment arrangement;</w:t>
      </w:r>
    </w:p>
    <w:p w14:paraId="031E3698"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any exceptional circumstances affecting the applicant or household;</w:t>
      </w:r>
    </w:p>
    <w:p w14:paraId="39211480"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lastRenderedPageBreak/>
        <w:t>the impact of refusal on the applicant and household, including any children or vulnerable household members; and</w:t>
      </w:r>
    </w:p>
    <w:p w14:paraId="451C3D95"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 xml:space="preserve">the Association’s responsibility </w:t>
      </w:r>
      <w:proofErr w:type="gramStart"/>
      <w:r w:rsidRPr="002D55C0">
        <w:rPr>
          <w:sz w:val="24"/>
          <w:szCs w:val="24"/>
        </w:rPr>
        <w:t>to</w:t>
      </w:r>
      <w:proofErr w:type="gramEnd"/>
      <w:r w:rsidRPr="002D55C0">
        <w:rPr>
          <w:sz w:val="24"/>
          <w:szCs w:val="24"/>
        </w:rPr>
        <w:t xml:space="preserve"> manage its housing stock, tenancy accounts and resources effectively.</w:t>
      </w:r>
    </w:p>
    <w:p w14:paraId="677347C1" w14:textId="77777777" w:rsidR="002D55C0" w:rsidRPr="002D55C0" w:rsidRDefault="002D55C0" w:rsidP="002D55C0">
      <w:pPr>
        <w:spacing w:after="120" w:line="259" w:lineRule="auto"/>
        <w:rPr>
          <w:rFonts w:ascii="Aptos" w:hAnsi="Aptos"/>
        </w:rPr>
      </w:pPr>
      <w:r w:rsidRPr="002D55C0">
        <w:rPr>
          <w:rFonts w:ascii="Aptos" w:hAnsi="Aptos"/>
        </w:rPr>
        <w:t xml:space="preserve">Each case will be considered </w:t>
      </w:r>
      <w:proofErr w:type="gramStart"/>
      <w:r w:rsidRPr="002D55C0">
        <w:rPr>
          <w:rFonts w:ascii="Aptos" w:hAnsi="Aptos"/>
        </w:rPr>
        <w:t>on</w:t>
      </w:r>
      <w:proofErr w:type="gramEnd"/>
      <w:r w:rsidRPr="002D55C0">
        <w:rPr>
          <w:rFonts w:ascii="Aptos" w:hAnsi="Aptos"/>
        </w:rPr>
        <w:t xml:space="preserve"> its individual merits. Where consent is refused because of tenancy-related debt, the Association will provide written reasons and, where appropriate, information on what action may allow a further application to be considered.</w:t>
      </w:r>
    </w:p>
    <w:p w14:paraId="4C94B405" w14:textId="77777777" w:rsidR="002D55C0" w:rsidRPr="00402837" w:rsidRDefault="002D55C0" w:rsidP="00402837">
      <w:pPr>
        <w:pStyle w:val="Heading2"/>
        <w:spacing w:after="120" w:line="259" w:lineRule="auto"/>
        <w:jc w:val="left"/>
        <w:rPr>
          <w:rFonts w:ascii="Aptos" w:hAnsi="Aptos"/>
          <w:b w:val="0"/>
          <w:bCs w:val="0"/>
          <w:sz w:val="24"/>
          <w:szCs w:val="24"/>
          <w:u w:val="single"/>
        </w:rPr>
      </w:pPr>
      <w:r w:rsidRPr="00402837">
        <w:rPr>
          <w:rFonts w:ascii="Aptos" w:hAnsi="Aptos"/>
          <w:b w:val="0"/>
          <w:bCs w:val="0"/>
          <w:sz w:val="24"/>
          <w:szCs w:val="24"/>
          <w:u w:val="single"/>
        </w:rPr>
        <w:t>6.2 Future Applications Following Refusal</w:t>
      </w:r>
    </w:p>
    <w:p w14:paraId="1AD55A35" w14:textId="0454DD9C" w:rsidR="00661617" w:rsidRDefault="00946620" w:rsidP="002D55C0">
      <w:pPr>
        <w:spacing w:after="120" w:line="259" w:lineRule="auto"/>
        <w:rPr>
          <w:rFonts w:ascii="Aptos" w:hAnsi="Aptos"/>
        </w:rPr>
      </w:pPr>
      <w:r>
        <w:rPr>
          <w:rFonts w:ascii="Aptos" w:hAnsi="Aptos"/>
        </w:rPr>
        <w:t>Following a refusal the</w:t>
      </w:r>
      <w:r w:rsidR="002D55C0" w:rsidRPr="002D55C0">
        <w:rPr>
          <w:rFonts w:ascii="Aptos" w:hAnsi="Aptos"/>
        </w:rPr>
        <w:t xml:space="preserve"> Association will consider </w:t>
      </w:r>
      <w:r>
        <w:rPr>
          <w:rFonts w:ascii="Aptos" w:hAnsi="Aptos"/>
        </w:rPr>
        <w:t xml:space="preserve">further mutual </w:t>
      </w:r>
      <w:r w:rsidR="00661617">
        <w:rPr>
          <w:rFonts w:ascii="Aptos" w:hAnsi="Aptos"/>
        </w:rPr>
        <w:t xml:space="preserve">exchanges </w:t>
      </w:r>
      <w:r>
        <w:rPr>
          <w:rFonts w:ascii="Aptos" w:hAnsi="Aptos"/>
        </w:rPr>
        <w:t xml:space="preserve">however the Association will still apply the same </w:t>
      </w:r>
      <w:r w:rsidR="00661617">
        <w:rPr>
          <w:rFonts w:ascii="Aptos" w:hAnsi="Aptos"/>
        </w:rPr>
        <w:t>assessment criteria.</w:t>
      </w:r>
    </w:p>
    <w:p w14:paraId="3EEA3F1A" w14:textId="77777777" w:rsidR="00661617" w:rsidRDefault="00661617" w:rsidP="002D55C0">
      <w:pPr>
        <w:spacing w:after="120" w:line="259" w:lineRule="auto"/>
        <w:rPr>
          <w:rFonts w:ascii="Aptos" w:hAnsi="Aptos"/>
        </w:rPr>
      </w:pPr>
    </w:p>
    <w:p w14:paraId="28441549" w14:textId="77777777" w:rsidR="002D55C0" w:rsidRPr="00402837" w:rsidRDefault="002D55C0" w:rsidP="002D55C0">
      <w:pPr>
        <w:pStyle w:val="Heading1"/>
        <w:spacing w:after="120" w:line="259" w:lineRule="auto"/>
        <w:rPr>
          <w:rFonts w:ascii="Aptos" w:hAnsi="Aptos"/>
          <w:sz w:val="24"/>
          <w:szCs w:val="24"/>
        </w:rPr>
      </w:pPr>
      <w:r w:rsidRPr="00402837">
        <w:rPr>
          <w:rFonts w:ascii="Aptos" w:hAnsi="Aptos"/>
          <w:sz w:val="24"/>
          <w:szCs w:val="24"/>
        </w:rPr>
        <w:t>7. Mutual Exchange Matching Services</w:t>
      </w:r>
    </w:p>
    <w:p w14:paraId="56F14F56" w14:textId="77777777" w:rsidR="002D55C0" w:rsidRPr="002D55C0" w:rsidRDefault="002D55C0" w:rsidP="002D55C0">
      <w:pPr>
        <w:spacing w:after="120" w:line="259" w:lineRule="auto"/>
        <w:rPr>
          <w:rFonts w:ascii="Aptos" w:hAnsi="Aptos"/>
        </w:rPr>
      </w:pPr>
      <w:r w:rsidRPr="003D7AFC">
        <w:rPr>
          <w:rFonts w:ascii="Aptos" w:hAnsi="Aptos"/>
        </w:rPr>
        <w:t>The Association may subscribe to or promote a mutual exchange matching service to assist tenants who wish to identify possible exchange partners. Participation in any such service is voluntary and subject to the terms and conditions of the provider. Tenants must still obtain written consent from all relevant landlords before any exchange can take place.</w:t>
      </w:r>
    </w:p>
    <w:p w14:paraId="57EB0AD3" w14:textId="77777777" w:rsidR="00B22015" w:rsidRDefault="00B22015" w:rsidP="002D55C0">
      <w:pPr>
        <w:pStyle w:val="Heading1"/>
        <w:spacing w:after="120" w:line="259" w:lineRule="auto"/>
        <w:rPr>
          <w:rFonts w:ascii="Aptos" w:hAnsi="Aptos"/>
          <w:sz w:val="24"/>
          <w:szCs w:val="24"/>
        </w:rPr>
      </w:pPr>
    </w:p>
    <w:p w14:paraId="027D6A77" w14:textId="03972174" w:rsidR="002D55C0" w:rsidRPr="002D55C0" w:rsidRDefault="002D55C0" w:rsidP="002D55C0">
      <w:pPr>
        <w:pStyle w:val="Heading1"/>
        <w:spacing w:after="120" w:line="259" w:lineRule="auto"/>
        <w:rPr>
          <w:rFonts w:ascii="Aptos" w:hAnsi="Aptos"/>
          <w:sz w:val="24"/>
          <w:szCs w:val="24"/>
        </w:rPr>
      </w:pPr>
      <w:r w:rsidRPr="002D55C0">
        <w:rPr>
          <w:rFonts w:ascii="Aptos" w:hAnsi="Aptos"/>
          <w:sz w:val="24"/>
          <w:szCs w:val="24"/>
        </w:rPr>
        <w:t>8. Appeals Process</w:t>
      </w:r>
    </w:p>
    <w:p w14:paraId="206A1101" w14:textId="77777777" w:rsidR="002D55C0" w:rsidRPr="002D55C0" w:rsidRDefault="002D55C0" w:rsidP="002D55C0">
      <w:pPr>
        <w:spacing w:after="120" w:line="259" w:lineRule="auto"/>
        <w:rPr>
          <w:rFonts w:ascii="Aptos" w:hAnsi="Aptos"/>
        </w:rPr>
      </w:pPr>
      <w:r w:rsidRPr="002D55C0">
        <w:rPr>
          <w:rFonts w:ascii="Aptos" w:hAnsi="Aptos"/>
        </w:rPr>
        <w:t>Any applicant who is unhappy with a decision relating to a mutual exchange must submit a written appeal to the Housing Manager within 28 days of receiving the decision.</w:t>
      </w:r>
    </w:p>
    <w:p w14:paraId="201B0891" w14:textId="6F0B1685" w:rsidR="002D55C0" w:rsidRPr="002D55C0" w:rsidRDefault="002D55C0" w:rsidP="002D55C0">
      <w:pPr>
        <w:spacing w:after="120" w:line="259" w:lineRule="auto"/>
        <w:rPr>
          <w:rFonts w:ascii="Aptos" w:hAnsi="Aptos"/>
        </w:rPr>
      </w:pPr>
      <w:r w:rsidRPr="002D55C0">
        <w:rPr>
          <w:rFonts w:ascii="Aptos" w:hAnsi="Aptos"/>
        </w:rPr>
        <w:t xml:space="preserve">The appeal will normally be considered by </w:t>
      </w:r>
      <w:r w:rsidR="00C8779E">
        <w:rPr>
          <w:rFonts w:ascii="Aptos" w:hAnsi="Aptos"/>
        </w:rPr>
        <w:t>the Housing M</w:t>
      </w:r>
      <w:r w:rsidRPr="002D55C0">
        <w:rPr>
          <w:rFonts w:ascii="Aptos" w:hAnsi="Aptos"/>
        </w:rPr>
        <w:t xml:space="preserve">anager. The </w:t>
      </w:r>
      <w:r w:rsidR="004E61CD">
        <w:rPr>
          <w:rFonts w:ascii="Aptos" w:hAnsi="Aptos"/>
        </w:rPr>
        <w:t>Housing M</w:t>
      </w:r>
      <w:r w:rsidRPr="002D55C0">
        <w:rPr>
          <w:rFonts w:ascii="Aptos" w:hAnsi="Aptos"/>
        </w:rPr>
        <w:t>anager will review the decision, the reasons for refusal and any additional information provided by the applicant. If the decision remains unchanged, the applicant will be given written reasons for this.</w:t>
      </w:r>
    </w:p>
    <w:p w14:paraId="48246BCE" w14:textId="77777777" w:rsidR="002D55C0" w:rsidRPr="002D55C0" w:rsidRDefault="002D55C0" w:rsidP="002D55C0">
      <w:pPr>
        <w:spacing w:after="120" w:line="259" w:lineRule="auto"/>
        <w:rPr>
          <w:rFonts w:ascii="Aptos" w:hAnsi="Aptos"/>
        </w:rPr>
      </w:pPr>
      <w:r w:rsidRPr="002D55C0">
        <w:rPr>
          <w:rFonts w:ascii="Aptos" w:hAnsi="Aptos"/>
        </w:rPr>
        <w:t>This does not prejudice the tenant’s right to raise a court action under Part 2 of Schedule 5 of the Housing (Scotland) Act 2001.</w:t>
      </w:r>
    </w:p>
    <w:p w14:paraId="76774260" w14:textId="77777777" w:rsidR="0075649B" w:rsidRDefault="0075649B" w:rsidP="002D55C0">
      <w:pPr>
        <w:pStyle w:val="Heading1"/>
        <w:spacing w:after="120" w:line="259" w:lineRule="auto"/>
        <w:rPr>
          <w:rFonts w:ascii="Aptos" w:hAnsi="Aptos"/>
          <w:sz w:val="24"/>
          <w:szCs w:val="24"/>
        </w:rPr>
      </w:pPr>
    </w:p>
    <w:p w14:paraId="3848A277" w14:textId="53F19894" w:rsidR="002D55C0" w:rsidRPr="002D55C0" w:rsidRDefault="002D55C0" w:rsidP="002D55C0">
      <w:pPr>
        <w:pStyle w:val="Heading1"/>
        <w:spacing w:after="120" w:line="259" w:lineRule="auto"/>
        <w:rPr>
          <w:rFonts w:ascii="Aptos" w:hAnsi="Aptos"/>
          <w:sz w:val="24"/>
          <w:szCs w:val="24"/>
        </w:rPr>
      </w:pPr>
      <w:r w:rsidRPr="002D55C0">
        <w:rPr>
          <w:rFonts w:ascii="Aptos" w:hAnsi="Aptos"/>
          <w:sz w:val="24"/>
          <w:szCs w:val="24"/>
        </w:rPr>
        <w:t>9. Fraud and Misrepresentation</w:t>
      </w:r>
    </w:p>
    <w:p w14:paraId="558D86E5" w14:textId="77777777" w:rsidR="002D55C0" w:rsidRPr="002D55C0" w:rsidRDefault="002D55C0" w:rsidP="002D55C0">
      <w:pPr>
        <w:spacing w:after="120" w:line="259" w:lineRule="auto"/>
        <w:rPr>
          <w:rFonts w:ascii="Aptos" w:hAnsi="Aptos"/>
        </w:rPr>
      </w:pPr>
      <w:r w:rsidRPr="002D55C0">
        <w:rPr>
          <w:rFonts w:ascii="Aptos" w:hAnsi="Aptos"/>
        </w:rPr>
        <w:t xml:space="preserve">The Association may refuse, suspend or revoke consent for a mutual exchange where it becomes aware that false, misleading or incomplete information has been provided. This includes information about household members, tenancy history, property condition, rent arrears, tenancy-related debt, anti-social </w:t>
      </w:r>
      <w:proofErr w:type="spellStart"/>
      <w:r w:rsidRPr="002D55C0">
        <w:rPr>
          <w:rFonts w:ascii="Aptos" w:hAnsi="Aptos"/>
        </w:rPr>
        <w:t>behaviour</w:t>
      </w:r>
      <w:proofErr w:type="spellEnd"/>
      <w:r w:rsidRPr="002D55C0">
        <w:rPr>
          <w:rFonts w:ascii="Aptos" w:hAnsi="Aptos"/>
        </w:rPr>
        <w:t>, support needs or any other matter relevant to the application.</w:t>
      </w:r>
    </w:p>
    <w:p w14:paraId="317CECF6" w14:textId="77777777" w:rsidR="002D55C0" w:rsidRPr="002D55C0" w:rsidRDefault="002D55C0" w:rsidP="002D55C0">
      <w:pPr>
        <w:spacing w:after="120" w:line="259" w:lineRule="auto"/>
        <w:rPr>
          <w:rFonts w:ascii="Aptos" w:hAnsi="Aptos"/>
        </w:rPr>
      </w:pPr>
      <w:r w:rsidRPr="002D55C0">
        <w:rPr>
          <w:rFonts w:ascii="Aptos" w:hAnsi="Aptos"/>
        </w:rPr>
        <w:t xml:space="preserve">Any suspected tenancy fraud will be investigated in accordance with the Association’s policies and procedures. The Association may share relevant </w:t>
      </w:r>
      <w:r w:rsidRPr="002D55C0">
        <w:rPr>
          <w:rFonts w:ascii="Aptos" w:hAnsi="Aptos"/>
        </w:rPr>
        <w:lastRenderedPageBreak/>
        <w:t>information with other landlords or agencies where it is lawful and necessary to do so.</w:t>
      </w:r>
    </w:p>
    <w:p w14:paraId="4C30BD3A" w14:textId="77777777" w:rsidR="0005388F" w:rsidRDefault="0005388F" w:rsidP="002D55C0">
      <w:pPr>
        <w:pStyle w:val="Heading1"/>
        <w:spacing w:after="120" w:line="259" w:lineRule="auto"/>
        <w:rPr>
          <w:rFonts w:ascii="Aptos" w:hAnsi="Aptos"/>
          <w:sz w:val="24"/>
          <w:szCs w:val="24"/>
        </w:rPr>
      </w:pPr>
    </w:p>
    <w:p w14:paraId="209B772E" w14:textId="76A5A826" w:rsidR="002D55C0" w:rsidRPr="002D55C0" w:rsidRDefault="002D55C0" w:rsidP="002D55C0">
      <w:pPr>
        <w:pStyle w:val="Heading1"/>
        <w:spacing w:after="120" w:line="259" w:lineRule="auto"/>
        <w:rPr>
          <w:rFonts w:ascii="Aptos" w:hAnsi="Aptos"/>
          <w:sz w:val="24"/>
          <w:szCs w:val="24"/>
        </w:rPr>
      </w:pPr>
      <w:r w:rsidRPr="002D55C0">
        <w:rPr>
          <w:rFonts w:ascii="Aptos" w:hAnsi="Aptos"/>
          <w:sz w:val="24"/>
          <w:szCs w:val="24"/>
        </w:rPr>
        <w:t>10. Data Protection and Information Sharing</w:t>
      </w:r>
    </w:p>
    <w:p w14:paraId="0737E313" w14:textId="77777777" w:rsidR="002D55C0" w:rsidRPr="002D55C0" w:rsidRDefault="002D55C0" w:rsidP="002D55C0">
      <w:pPr>
        <w:spacing w:after="120" w:line="259" w:lineRule="auto"/>
        <w:rPr>
          <w:rFonts w:ascii="Aptos" w:hAnsi="Aptos"/>
        </w:rPr>
      </w:pPr>
      <w:r w:rsidRPr="002D55C0">
        <w:rPr>
          <w:rFonts w:ascii="Aptos" w:hAnsi="Aptos"/>
        </w:rPr>
        <w:t>The Association will process personal information in accordance with applicable data protection legislation. Information will only be collected, used and shared where this is lawful, necessary and proportionate for the purposes of assessing the mutual exchange application, managing the tenancy, preventing fraud, safeguarding individuals or meeting legal and regulatory obligations.</w:t>
      </w:r>
    </w:p>
    <w:p w14:paraId="060F0EB2" w14:textId="77777777" w:rsidR="002D55C0" w:rsidRPr="002D55C0" w:rsidRDefault="002D55C0" w:rsidP="002D55C0">
      <w:pPr>
        <w:spacing w:after="120" w:line="259" w:lineRule="auto"/>
        <w:rPr>
          <w:rFonts w:ascii="Aptos" w:hAnsi="Aptos"/>
        </w:rPr>
      </w:pPr>
      <w:r w:rsidRPr="002D55C0">
        <w:rPr>
          <w:rFonts w:ascii="Aptos" w:hAnsi="Aptos"/>
        </w:rPr>
        <w:t>Applicants will be advised where information needs to be shared with another landlord or relevant agency to allow the exchange to be assessed.</w:t>
      </w:r>
    </w:p>
    <w:p w14:paraId="78C19B7B" w14:textId="77777777" w:rsidR="0005388F" w:rsidRDefault="0005388F" w:rsidP="002D55C0">
      <w:pPr>
        <w:pStyle w:val="Heading1"/>
        <w:spacing w:after="120" w:line="259" w:lineRule="auto"/>
        <w:rPr>
          <w:rFonts w:ascii="Aptos" w:hAnsi="Aptos"/>
          <w:sz w:val="24"/>
          <w:szCs w:val="24"/>
        </w:rPr>
      </w:pPr>
    </w:p>
    <w:p w14:paraId="20FCC8D4" w14:textId="42459292" w:rsidR="002D55C0" w:rsidRPr="002D55C0" w:rsidRDefault="002D55C0" w:rsidP="002D55C0">
      <w:pPr>
        <w:pStyle w:val="Heading1"/>
        <w:spacing w:after="120" w:line="259" w:lineRule="auto"/>
        <w:rPr>
          <w:rFonts w:ascii="Aptos" w:hAnsi="Aptos"/>
          <w:sz w:val="24"/>
          <w:szCs w:val="24"/>
        </w:rPr>
      </w:pPr>
      <w:r w:rsidRPr="002D55C0">
        <w:rPr>
          <w:rFonts w:ascii="Aptos" w:hAnsi="Aptos"/>
          <w:sz w:val="24"/>
          <w:szCs w:val="24"/>
        </w:rPr>
        <w:t>1</w:t>
      </w:r>
      <w:r w:rsidR="003B4B2E">
        <w:rPr>
          <w:rFonts w:ascii="Aptos" w:hAnsi="Aptos"/>
          <w:sz w:val="24"/>
          <w:szCs w:val="24"/>
        </w:rPr>
        <w:t>1</w:t>
      </w:r>
      <w:r w:rsidRPr="002D55C0">
        <w:rPr>
          <w:rFonts w:ascii="Aptos" w:hAnsi="Aptos"/>
          <w:sz w:val="24"/>
          <w:szCs w:val="24"/>
        </w:rPr>
        <w:t>. Performance Monitoring</w:t>
      </w:r>
    </w:p>
    <w:p w14:paraId="1CB143C9" w14:textId="77777777" w:rsidR="002D55C0" w:rsidRPr="002D55C0" w:rsidRDefault="002D55C0" w:rsidP="002D55C0">
      <w:pPr>
        <w:spacing w:after="120" w:line="259" w:lineRule="auto"/>
        <w:rPr>
          <w:rFonts w:ascii="Aptos" w:hAnsi="Aptos"/>
        </w:rPr>
      </w:pPr>
      <w:r w:rsidRPr="002D55C0">
        <w:rPr>
          <w:rFonts w:ascii="Aptos" w:hAnsi="Aptos"/>
        </w:rPr>
        <w:t>The Association will monitor the operation of this policy to ensure that mutual exchange applications are managed fairly, consistently and within statutory timescales.</w:t>
      </w:r>
    </w:p>
    <w:p w14:paraId="57823688" w14:textId="77777777" w:rsidR="002D55C0" w:rsidRPr="002D55C0" w:rsidRDefault="002D55C0" w:rsidP="002D55C0">
      <w:pPr>
        <w:spacing w:after="120" w:line="259" w:lineRule="auto"/>
        <w:rPr>
          <w:rFonts w:ascii="Aptos" w:hAnsi="Aptos"/>
        </w:rPr>
      </w:pPr>
      <w:r w:rsidRPr="002D55C0">
        <w:rPr>
          <w:rFonts w:ascii="Aptos" w:hAnsi="Aptos"/>
        </w:rPr>
        <w:t>Monitoring information may include:</w:t>
      </w:r>
    </w:p>
    <w:p w14:paraId="3972E84E"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number of applications received;</w:t>
      </w:r>
    </w:p>
    <w:p w14:paraId="0846DD91"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number of applications approved;</w:t>
      </w:r>
    </w:p>
    <w:p w14:paraId="21AEC65D"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number of applications refused;</w:t>
      </w:r>
    </w:p>
    <w:p w14:paraId="48FCAA96"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reasons for refusal;</w:t>
      </w:r>
    </w:p>
    <w:p w14:paraId="20291D4D"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average processing times;</w:t>
      </w:r>
    </w:p>
    <w:p w14:paraId="6455E086"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number and outcome of appeals;</w:t>
      </w:r>
    </w:p>
    <w:p w14:paraId="4D934E71"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equality monitoring information where available and relevant;</w:t>
      </w:r>
    </w:p>
    <w:p w14:paraId="2735361F"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complaints, compliments and feedback relating to the mutual exchange process; and</w:t>
      </w:r>
    </w:p>
    <w:p w14:paraId="3F69FA69"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lessons learned and any service improvement actions identified.</w:t>
      </w:r>
    </w:p>
    <w:p w14:paraId="5FB85BFE" w14:textId="77777777" w:rsidR="002D55C0" w:rsidRPr="002D55C0" w:rsidRDefault="002D55C0" w:rsidP="002D55C0">
      <w:pPr>
        <w:spacing w:after="120" w:line="259" w:lineRule="auto"/>
        <w:rPr>
          <w:rFonts w:ascii="Aptos" w:hAnsi="Aptos"/>
        </w:rPr>
      </w:pPr>
      <w:r w:rsidRPr="002D55C0">
        <w:rPr>
          <w:rFonts w:ascii="Aptos" w:hAnsi="Aptos"/>
        </w:rPr>
        <w:t>Performance information will be reported through the Association’s governance and performance monitoring arrangements as required.</w:t>
      </w:r>
    </w:p>
    <w:p w14:paraId="3EAE14E9" w14:textId="77777777" w:rsidR="002D55C0" w:rsidRPr="002D55C0" w:rsidRDefault="002D55C0" w:rsidP="002D55C0">
      <w:pPr>
        <w:pStyle w:val="Heading1"/>
        <w:spacing w:after="120" w:line="259" w:lineRule="auto"/>
        <w:rPr>
          <w:rFonts w:ascii="Aptos" w:hAnsi="Aptos"/>
          <w:sz w:val="24"/>
          <w:szCs w:val="24"/>
        </w:rPr>
      </w:pPr>
      <w:r w:rsidRPr="002D55C0">
        <w:rPr>
          <w:rFonts w:ascii="Aptos" w:hAnsi="Aptos"/>
          <w:sz w:val="24"/>
          <w:szCs w:val="24"/>
        </w:rPr>
        <w:t>13. Equal Opportunities and Accessibility</w:t>
      </w:r>
    </w:p>
    <w:p w14:paraId="37650F3A" w14:textId="77777777" w:rsidR="002D55C0" w:rsidRPr="002D55C0" w:rsidRDefault="002D55C0" w:rsidP="002D55C0">
      <w:pPr>
        <w:spacing w:after="120" w:line="259" w:lineRule="auto"/>
        <w:rPr>
          <w:rFonts w:ascii="Aptos" w:hAnsi="Aptos"/>
        </w:rPr>
      </w:pPr>
      <w:r w:rsidRPr="002D55C0">
        <w:rPr>
          <w:rFonts w:ascii="Aptos" w:hAnsi="Aptos"/>
        </w:rPr>
        <w:t xml:space="preserve">In developing and implementing policies covering all aspects of its work, Angus Housing Association will ensure that its commitment to equality of opportunity is evident. The Association will operate in a manner that encourages equal opportunities and </w:t>
      </w:r>
      <w:proofErr w:type="spellStart"/>
      <w:r w:rsidRPr="002D55C0">
        <w:rPr>
          <w:rFonts w:ascii="Aptos" w:hAnsi="Aptos"/>
        </w:rPr>
        <w:t>recognises</w:t>
      </w:r>
      <w:proofErr w:type="spellEnd"/>
      <w:r w:rsidRPr="002D55C0">
        <w:rPr>
          <w:rFonts w:ascii="Aptos" w:hAnsi="Aptos"/>
        </w:rPr>
        <w:t xml:space="preserve"> the protected characteristics set out in the Equality Act 2010 as it applies in Scotland.</w:t>
      </w:r>
    </w:p>
    <w:p w14:paraId="3B060314" w14:textId="77777777" w:rsidR="002D55C0" w:rsidRPr="002D55C0" w:rsidRDefault="002D55C0" w:rsidP="002D55C0">
      <w:pPr>
        <w:spacing w:after="120" w:line="259" w:lineRule="auto"/>
        <w:rPr>
          <w:rFonts w:ascii="Aptos" w:hAnsi="Aptos"/>
        </w:rPr>
      </w:pPr>
      <w:r w:rsidRPr="002D55C0">
        <w:rPr>
          <w:rFonts w:ascii="Aptos" w:hAnsi="Aptos"/>
        </w:rPr>
        <w:t>The protected characteristics are:</w:t>
      </w:r>
    </w:p>
    <w:p w14:paraId="70B0FC64"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age;</w:t>
      </w:r>
    </w:p>
    <w:p w14:paraId="50CF7845"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disability;</w:t>
      </w:r>
    </w:p>
    <w:p w14:paraId="4245D74B"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lastRenderedPageBreak/>
        <w:t>gender reassignment;</w:t>
      </w:r>
    </w:p>
    <w:p w14:paraId="0C612520"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marriage and civil partnership;</w:t>
      </w:r>
    </w:p>
    <w:p w14:paraId="05D9FE0B"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pregnancy and maternity;</w:t>
      </w:r>
    </w:p>
    <w:p w14:paraId="16F38F11"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race;</w:t>
      </w:r>
    </w:p>
    <w:p w14:paraId="18C432F4"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religion or belief;</w:t>
      </w:r>
    </w:p>
    <w:p w14:paraId="39E381D3"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sex; and</w:t>
      </w:r>
    </w:p>
    <w:p w14:paraId="67F8448E" w14:textId="77777777" w:rsidR="002D55C0" w:rsidRPr="002D55C0" w:rsidRDefault="002D55C0" w:rsidP="002D55C0">
      <w:pPr>
        <w:pStyle w:val="ListBullet"/>
        <w:tabs>
          <w:tab w:val="num" w:pos="360"/>
        </w:tabs>
        <w:spacing w:after="120" w:line="259" w:lineRule="auto"/>
        <w:rPr>
          <w:sz w:val="24"/>
          <w:szCs w:val="24"/>
        </w:rPr>
      </w:pPr>
      <w:r w:rsidRPr="002D55C0">
        <w:rPr>
          <w:sz w:val="24"/>
          <w:szCs w:val="24"/>
        </w:rPr>
        <w:t>sexual orientation.</w:t>
      </w:r>
    </w:p>
    <w:p w14:paraId="3A6AF1AC" w14:textId="77777777" w:rsidR="002D55C0" w:rsidRPr="002D55C0" w:rsidRDefault="002D55C0" w:rsidP="002D55C0">
      <w:pPr>
        <w:spacing w:after="120" w:line="259" w:lineRule="auto"/>
        <w:rPr>
          <w:rFonts w:ascii="Aptos" w:hAnsi="Aptos"/>
        </w:rPr>
      </w:pPr>
      <w:r w:rsidRPr="002D55C0">
        <w:rPr>
          <w:rFonts w:ascii="Aptos" w:hAnsi="Aptos"/>
        </w:rPr>
        <w:t xml:space="preserve">This policy and any summary, information leaflet or form can be made available free of charge in a variety of formats on request, including large print, Easy Read, translated formats, digital formats, audio, British Sign Language support and other communication support </w:t>
      </w:r>
      <w:proofErr w:type="gramStart"/>
      <w:r w:rsidRPr="002D55C0">
        <w:rPr>
          <w:rFonts w:ascii="Aptos" w:hAnsi="Aptos"/>
        </w:rPr>
        <w:t>where</w:t>
      </w:r>
      <w:proofErr w:type="gramEnd"/>
      <w:r w:rsidRPr="002D55C0">
        <w:rPr>
          <w:rFonts w:ascii="Aptos" w:hAnsi="Aptos"/>
        </w:rPr>
        <w:t xml:space="preserve"> reasonably practicable.</w:t>
      </w:r>
    </w:p>
    <w:p w14:paraId="33C63784" w14:textId="77777777" w:rsidR="002D55C0" w:rsidRPr="002D55C0" w:rsidRDefault="002D55C0" w:rsidP="002D55C0">
      <w:pPr>
        <w:spacing w:after="120" w:line="259" w:lineRule="auto"/>
        <w:rPr>
          <w:rFonts w:ascii="Aptos" w:hAnsi="Aptos"/>
        </w:rPr>
      </w:pPr>
      <w:r w:rsidRPr="002D55C0">
        <w:rPr>
          <w:rFonts w:ascii="Aptos" w:hAnsi="Aptos"/>
        </w:rPr>
        <w:t>The policy has been considered against the Association’s equality impact assessment approach and should be reviewed if evidence suggests that any part of the policy may create an unintended barrier or disproportionate impact.</w:t>
      </w:r>
    </w:p>
    <w:p w14:paraId="564C893C" w14:textId="77777777" w:rsidR="002D55C0" w:rsidRPr="002D55C0" w:rsidRDefault="002D55C0" w:rsidP="002D55C0">
      <w:pPr>
        <w:pStyle w:val="Heading1"/>
        <w:spacing w:after="120" w:line="259" w:lineRule="auto"/>
        <w:rPr>
          <w:rFonts w:ascii="Aptos" w:hAnsi="Aptos"/>
          <w:sz w:val="24"/>
          <w:szCs w:val="24"/>
        </w:rPr>
      </w:pPr>
      <w:r w:rsidRPr="002D55C0">
        <w:rPr>
          <w:rFonts w:ascii="Aptos" w:hAnsi="Aptos"/>
          <w:sz w:val="24"/>
          <w:szCs w:val="24"/>
        </w:rPr>
        <w:t>14. Review</w:t>
      </w:r>
    </w:p>
    <w:p w14:paraId="5139AB2C" w14:textId="3E856B34" w:rsidR="002D55C0" w:rsidRPr="002D55C0" w:rsidRDefault="002D55C0" w:rsidP="002D55C0">
      <w:pPr>
        <w:spacing w:after="120" w:line="259" w:lineRule="auto"/>
        <w:rPr>
          <w:rFonts w:ascii="Aptos" w:hAnsi="Aptos"/>
        </w:rPr>
      </w:pPr>
      <w:r w:rsidRPr="002D55C0">
        <w:rPr>
          <w:rFonts w:ascii="Aptos" w:hAnsi="Aptos"/>
        </w:rPr>
        <w:t xml:space="preserve">This policy will be reviewed five years from the date of implementation, which will be the date the policy is approved by the </w:t>
      </w:r>
      <w:r w:rsidR="00FE1E64">
        <w:rPr>
          <w:rFonts w:ascii="Aptos" w:hAnsi="Aptos"/>
        </w:rPr>
        <w:t>Board</w:t>
      </w:r>
      <w:r w:rsidRPr="002D55C0">
        <w:rPr>
          <w:rFonts w:ascii="Aptos" w:hAnsi="Aptos"/>
        </w:rPr>
        <w:t xml:space="preserve"> of Management, or earlier if there is a change in legislation, regulation, guidance, </w:t>
      </w:r>
      <w:proofErr w:type="spellStart"/>
      <w:r w:rsidRPr="002D55C0">
        <w:rPr>
          <w:rFonts w:ascii="Aptos" w:hAnsi="Aptos"/>
        </w:rPr>
        <w:t>organisational</w:t>
      </w:r>
      <w:proofErr w:type="spellEnd"/>
      <w:r w:rsidRPr="002D55C0">
        <w:rPr>
          <w:rFonts w:ascii="Aptos" w:hAnsi="Aptos"/>
        </w:rPr>
        <w:t xml:space="preserve"> practice or as deemed appropriate by the Association.</w:t>
      </w:r>
    </w:p>
    <w:p w14:paraId="55A001EE" w14:textId="77777777" w:rsidR="005D0883" w:rsidRPr="002B1C38" w:rsidRDefault="005D0883" w:rsidP="005D0883">
      <w:pPr>
        <w:spacing w:line="360" w:lineRule="auto"/>
        <w:rPr>
          <w:rFonts w:asciiTheme="minorHAnsi" w:hAnsiTheme="minorHAnsi" w:cs="Arial"/>
          <w:lang w:val="en-GB"/>
        </w:rPr>
      </w:pPr>
    </w:p>
    <w:sectPr w:rsidR="005D0883" w:rsidRPr="002B1C38" w:rsidSect="00671EB1">
      <w:headerReference w:type="even" r:id="rId12"/>
      <w:headerReference w:type="default" r:id="rId13"/>
      <w:footerReference w:type="even" r:id="rId14"/>
      <w:footerReference w:type="default" r:id="rId15"/>
      <w:headerReference w:type="first" r:id="rId16"/>
      <w:footerReference w:type="first" r:id="rId17"/>
      <w:pgSz w:w="12240" w:h="15840"/>
      <w:pgMar w:top="851" w:right="1797" w:bottom="851"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A98C8" w14:textId="77777777" w:rsidR="00603A16" w:rsidRDefault="00603A16">
      <w:r>
        <w:separator/>
      </w:r>
    </w:p>
  </w:endnote>
  <w:endnote w:type="continuationSeparator" w:id="0">
    <w:p w14:paraId="609B5EBA" w14:textId="77777777" w:rsidR="00603A16" w:rsidRDefault="00603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onaco">
    <w:altName w:val="Courier New"/>
    <w:panose1 w:val="00000000000000000000"/>
    <w:charset w:val="00"/>
    <w:family w:val="auto"/>
    <w:notTrueType/>
    <w:pitch w:val="default"/>
    <w:sig w:usb0="00000003" w:usb1="00000000" w:usb2="00000000" w:usb3="00000000" w:csb0="00000001" w:csb1="00000000"/>
  </w:font>
  <w:font w:name="Courier">
    <w:altName w:val="Courier New"/>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9F740" w14:textId="77777777" w:rsidR="00F46FB5" w:rsidRDefault="00F46F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1F456A" w14:textId="77777777" w:rsidR="00F46FB5" w:rsidRDefault="00F46F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ED4EC" w14:textId="77777777" w:rsidR="00F46FB5" w:rsidRDefault="00F46FB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1993">
      <w:rPr>
        <w:rStyle w:val="PageNumber"/>
        <w:noProof/>
      </w:rPr>
      <w:t>8</w:t>
    </w:r>
    <w:r>
      <w:rPr>
        <w:rStyle w:val="PageNumber"/>
      </w:rPr>
      <w:fldChar w:fldCharType="end"/>
    </w:r>
  </w:p>
  <w:p w14:paraId="013B3E5A" w14:textId="77777777" w:rsidR="00F46FB5" w:rsidRDefault="00F46FB5" w:rsidP="00CA4A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A88C4" w14:textId="77777777" w:rsidR="000E0782" w:rsidRDefault="000E07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8C60B" w14:textId="77777777" w:rsidR="00603A16" w:rsidRDefault="00603A16">
      <w:r>
        <w:separator/>
      </w:r>
    </w:p>
  </w:footnote>
  <w:footnote w:type="continuationSeparator" w:id="0">
    <w:p w14:paraId="379CF48B" w14:textId="77777777" w:rsidR="00603A16" w:rsidRDefault="00603A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BA5B2" w14:textId="77777777" w:rsidR="000E0782" w:rsidRDefault="000E07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733D7" w14:textId="77777777" w:rsidR="000E0782" w:rsidRDefault="000E07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97A3E" w14:textId="77777777" w:rsidR="000E0782" w:rsidRDefault="000E07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520E624"/>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AEAFD2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13C0143"/>
    <w:multiLevelType w:val="hybridMultilevel"/>
    <w:tmpl w:val="22127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91797"/>
    <w:multiLevelType w:val="hybridMultilevel"/>
    <w:tmpl w:val="7C461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904774"/>
    <w:multiLevelType w:val="hybridMultilevel"/>
    <w:tmpl w:val="B944F7E6"/>
    <w:lvl w:ilvl="0" w:tplc="FFFFFFFF">
      <w:start w:val="1"/>
      <w:numFmt w:val="lowerLetter"/>
      <w:lvlText w:val="%1)"/>
      <w:lvlJc w:val="left"/>
      <w:pPr>
        <w:tabs>
          <w:tab w:val="num" w:pos="2160"/>
        </w:tabs>
        <w:ind w:left="2160" w:hanging="72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5" w15:restartNumberingAfterBreak="0">
    <w:nsid w:val="159B1F61"/>
    <w:multiLevelType w:val="hybridMultilevel"/>
    <w:tmpl w:val="2CA2A4B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B25062D"/>
    <w:multiLevelType w:val="hybridMultilevel"/>
    <w:tmpl w:val="3506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06A2F7D"/>
    <w:multiLevelType w:val="hybridMultilevel"/>
    <w:tmpl w:val="EE2A7968"/>
    <w:lvl w:ilvl="0" w:tplc="08090001">
      <w:start w:val="1"/>
      <w:numFmt w:val="bullet"/>
      <w:lvlText w:val=""/>
      <w:lvlJc w:val="left"/>
      <w:pPr>
        <w:tabs>
          <w:tab w:val="num" w:pos="2160"/>
        </w:tabs>
        <w:ind w:left="2160" w:hanging="720"/>
      </w:pPr>
      <w:rPr>
        <w:rFonts w:ascii="Symbol" w:hAnsi="Symbol"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8" w15:restartNumberingAfterBreak="0">
    <w:nsid w:val="24057DB7"/>
    <w:multiLevelType w:val="hybridMultilevel"/>
    <w:tmpl w:val="80165460"/>
    <w:lvl w:ilvl="0" w:tplc="0409000F">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9" w15:restartNumberingAfterBreak="0">
    <w:nsid w:val="34C82A88"/>
    <w:multiLevelType w:val="hybridMultilevel"/>
    <w:tmpl w:val="B6F8D8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94E1DBB"/>
    <w:multiLevelType w:val="multilevel"/>
    <w:tmpl w:val="B27EFB2C"/>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427247D4"/>
    <w:multiLevelType w:val="hybridMultilevel"/>
    <w:tmpl w:val="C2AE059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4E4732FA"/>
    <w:multiLevelType w:val="hybridMultilevel"/>
    <w:tmpl w:val="CC964054"/>
    <w:lvl w:ilvl="0" w:tplc="E418F384">
      <w:start w:val="7"/>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622F7138"/>
    <w:multiLevelType w:val="hybridMultilevel"/>
    <w:tmpl w:val="2924D120"/>
    <w:lvl w:ilvl="0" w:tplc="9424C5F4">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15:restartNumberingAfterBreak="0">
    <w:nsid w:val="631F742F"/>
    <w:multiLevelType w:val="hybridMultilevel"/>
    <w:tmpl w:val="D0561D24"/>
    <w:lvl w:ilvl="0" w:tplc="E2E27416">
      <w:start w:val="4"/>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637169F"/>
    <w:multiLevelType w:val="multilevel"/>
    <w:tmpl w:val="0AD04CF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3AC4C3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73CF2D19"/>
    <w:multiLevelType w:val="hybridMultilevel"/>
    <w:tmpl w:val="D6121C18"/>
    <w:lvl w:ilvl="0" w:tplc="98D0D318">
      <w:start w:val="3"/>
      <w:numFmt w:val="decimal"/>
      <w:lvlText w:val="%1."/>
      <w:lvlJc w:val="left"/>
      <w:pPr>
        <w:tabs>
          <w:tab w:val="num" w:pos="720"/>
        </w:tabs>
        <w:ind w:left="720" w:hanging="6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8" w15:restartNumberingAfterBreak="0">
    <w:nsid w:val="76351438"/>
    <w:multiLevelType w:val="hybridMultilevel"/>
    <w:tmpl w:val="89FC0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3939AC"/>
    <w:multiLevelType w:val="hybridMultilevel"/>
    <w:tmpl w:val="5D90DD1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0" w15:restartNumberingAfterBreak="0">
    <w:nsid w:val="763C2749"/>
    <w:multiLevelType w:val="hybridMultilevel"/>
    <w:tmpl w:val="6E3A2E0C"/>
    <w:lvl w:ilvl="0" w:tplc="2670208E">
      <w:start w:val="9"/>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1" w15:restartNumberingAfterBreak="0">
    <w:nsid w:val="77FD6B64"/>
    <w:multiLevelType w:val="hybridMultilevel"/>
    <w:tmpl w:val="AC0024C0"/>
    <w:lvl w:ilvl="0" w:tplc="13C0215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AE7331C"/>
    <w:multiLevelType w:val="hybridMultilevel"/>
    <w:tmpl w:val="F7FC4428"/>
    <w:lvl w:ilvl="0" w:tplc="08090001">
      <w:start w:val="1"/>
      <w:numFmt w:val="bullet"/>
      <w:lvlText w:val=""/>
      <w:lvlJc w:val="left"/>
      <w:pPr>
        <w:ind w:left="1710" w:hanging="360"/>
      </w:pPr>
      <w:rPr>
        <w:rFonts w:ascii="Symbol" w:hAnsi="Symbol" w:hint="default"/>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23" w15:restartNumberingAfterBreak="0">
    <w:nsid w:val="7FC0249E"/>
    <w:multiLevelType w:val="hybridMultilevel"/>
    <w:tmpl w:val="CB561568"/>
    <w:lvl w:ilvl="0" w:tplc="9DEE2D14">
      <w:start w:val="1"/>
      <w:numFmt w:val="bullet"/>
      <w:lvlText w:val="§"/>
      <w:lvlJc w:val="left"/>
      <w:pPr>
        <w:ind w:left="1800" w:hanging="360"/>
      </w:pPr>
      <w:rPr>
        <w:rFonts w:ascii="Wingdings" w:hAnsi="Wingdings" w:hint="default"/>
      </w:rPr>
    </w:lvl>
    <w:lvl w:ilvl="1" w:tplc="C1CC2A96">
      <w:start w:val="1"/>
      <w:numFmt w:val="bullet"/>
      <w:lvlText w:val="o"/>
      <w:lvlJc w:val="left"/>
      <w:pPr>
        <w:ind w:left="2520" w:hanging="360"/>
      </w:pPr>
      <w:rPr>
        <w:rFonts w:ascii="Courier New" w:hAnsi="Courier New" w:cs="Times New Roman" w:hint="default"/>
      </w:rPr>
    </w:lvl>
    <w:lvl w:ilvl="2" w:tplc="3B7A0AF2">
      <w:start w:val="1"/>
      <w:numFmt w:val="bullet"/>
      <w:lvlText w:val=""/>
      <w:lvlJc w:val="left"/>
      <w:pPr>
        <w:ind w:left="3240" w:hanging="360"/>
      </w:pPr>
      <w:rPr>
        <w:rFonts w:ascii="Wingdings" w:hAnsi="Wingdings" w:hint="default"/>
      </w:rPr>
    </w:lvl>
    <w:lvl w:ilvl="3" w:tplc="69C086B6">
      <w:start w:val="1"/>
      <w:numFmt w:val="bullet"/>
      <w:lvlText w:val=""/>
      <w:lvlJc w:val="left"/>
      <w:pPr>
        <w:ind w:left="3960" w:hanging="360"/>
      </w:pPr>
      <w:rPr>
        <w:rFonts w:ascii="Symbol" w:hAnsi="Symbol" w:hint="default"/>
      </w:rPr>
    </w:lvl>
    <w:lvl w:ilvl="4" w:tplc="8D6A7FFA">
      <w:start w:val="1"/>
      <w:numFmt w:val="bullet"/>
      <w:lvlText w:val="o"/>
      <w:lvlJc w:val="left"/>
      <w:pPr>
        <w:ind w:left="4680" w:hanging="360"/>
      </w:pPr>
      <w:rPr>
        <w:rFonts w:ascii="Courier New" w:hAnsi="Courier New" w:cs="Times New Roman" w:hint="default"/>
      </w:rPr>
    </w:lvl>
    <w:lvl w:ilvl="5" w:tplc="1B46B348">
      <w:start w:val="1"/>
      <w:numFmt w:val="bullet"/>
      <w:lvlText w:val=""/>
      <w:lvlJc w:val="left"/>
      <w:pPr>
        <w:ind w:left="5400" w:hanging="360"/>
      </w:pPr>
      <w:rPr>
        <w:rFonts w:ascii="Wingdings" w:hAnsi="Wingdings" w:hint="default"/>
      </w:rPr>
    </w:lvl>
    <w:lvl w:ilvl="6" w:tplc="73E81E0C">
      <w:start w:val="1"/>
      <w:numFmt w:val="bullet"/>
      <w:lvlText w:val=""/>
      <w:lvlJc w:val="left"/>
      <w:pPr>
        <w:ind w:left="6120" w:hanging="360"/>
      </w:pPr>
      <w:rPr>
        <w:rFonts w:ascii="Symbol" w:hAnsi="Symbol" w:hint="default"/>
      </w:rPr>
    </w:lvl>
    <w:lvl w:ilvl="7" w:tplc="342275F8">
      <w:start w:val="1"/>
      <w:numFmt w:val="bullet"/>
      <w:lvlText w:val="o"/>
      <w:lvlJc w:val="left"/>
      <w:pPr>
        <w:ind w:left="6840" w:hanging="360"/>
      </w:pPr>
      <w:rPr>
        <w:rFonts w:ascii="Courier New" w:hAnsi="Courier New" w:cs="Times New Roman" w:hint="default"/>
      </w:rPr>
    </w:lvl>
    <w:lvl w:ilvl="8" w:tplc="19124E86">
      <w:start w:val="1"/>
      <w:numFmt w:val="bullet"/>
      <w:lvlText w:val=""/>
      <w:lvlJc w:val="left"/>
      <w:pPr>
        <w:ind w:left="7560" w:hanging="360"/>
      </w:pPr>
      <w:rPr>
        <w:rFonts w:ascii="Wingdings" w:hAnsi="Wingdings" w:hint="default"/>
      </w:rPr>
    </w:lvl>
  </w:abstractNum>
  <w:num w:numId="1" w16cid:durableId="801925158">
    <w:abstractNumId w:val="21"/>
  </w:num>
  <w:num w:numId="2" w16cid:durableId="1080370348">
    <w:abstractNumId w:val="10"/>
  </w:num>
  <w:num w:numId="3" w16cid:durableId="93137398">
    <w:abstractNumId w:val="13"/>
  </w:num>
  <w:num w:numId="4" w16cid:durableId="57821708">
    <w:abstractNumId w:val="17"/>
  </w:num>
  <w:num w:numId="5" w16cid:durableId="1831486026">
    <w:abstractNumId w:val="8"/>
  </w:num>
  <w:num w:numId="6" w16cid:durableId="1582789636">
    <w:abstractNumId w:val="16"/>
  </w:num>
  <w:num w:numId="7" w16cid:durableId="2133816726">
    <w:abstractNumId w:val="19"/>
  </w:num>
  <w:num w:numId="8" w16cid:durableId="1058480318">
    <w:abstractNumId w:val="22"/>
  </w:num>
  <w:num w:numId="9" w16cid:durableId="1425152346">
    <w:abstractNumId w:val="5"/>
  </w:num>
  <w:num w:numId="10" w16cid:durableId="937560668">
    <w:abstractNumId w:val="11"/>
  </w:num>
  <w:num w:numId="11" w16cid:durableId="704525815">
    <w:abstractNumId w:val="3"/>
  </w:num>
  <w:num w:numId="12" w16cid:durableId="308247125">
    <w:abstractNumId w:val="9"/>
  </w:num>
  <w:num w:numId="13" w16cid:durableId="1834762813">
    <w:abstractNumId w:val="6"/>
  </w:num>
  <w:num w:numId="14" w16cid:durableId="1450707301">
    <w:abstractNumId w:val="18"/>
  </w:num>
  <w:num w:numId="15" w16cid:durableId="390078335">
    <w:abstractNumId w:val="2"/>
  </w:num>
  <w:num w:numId="16" w16cid:durableId="254749353">
    <w:abstractNumId w:val="14"/>
  </w:num>
  <w:num w:numId="17" w16cid:durableId="1458255696">
    <w:abstractNumId w:val="20"/>
  </w:num>
  <w:num w:numId="18" w16cid:durableId="825977491">
    <w:abstractNumId w:val="15"/>
  </w:num>
  <w:num w:numId="19" w16cid:durableId="1749812782">
    <w:abstractNumId w:val="23"/>
  </w:num>
  <w:num w:numId="20" w16cid:durableId="1867715650">
    <w:abstractNumId w:val="4"/>
  </w:num>
  <w:num w:numId="21" w16cid:durableId="44762344">
    <w:abstractNumId w:val="7"/>
  </w:num>
  <w:num w:numId="22" w16cid:durableId="1539901833">
    <w:abstractNumId w:val="12"/>
  </w:num>
  <w:num w:numId="23" w16cid:durableId="1839733671">
    <w:abstractNumId w:val="1"/>
  </w:num>
  <w:num w:numId="24" w16cid:durableId="1978992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B88"/>
    <w:rsid w:val="00005B6F"/>
    <w:rsid w:val="000064E8"/>
    <w:rsid w:val="00007E07"/>
    <w:rsid w:val="00014AD9"/>
    <w:rsid w:val="00015E74"/>
    <w:rsid w:val="000207F5"/>
    <w:rsid w:val="00023E2A"/>
    <w:rsid w:val="000242CB"/>
    <w:rsid w:val="00027EEC"/>
    <w:rsid w:val="00040762"/>
    <w:rsid w:val="00044D82"/>
    <w:rsid w:val="000468FE"/>
    <w:rsid w:val="0005388F"/>
    <w:rsid w:val="00054A21"/>
    <w:rsid w:val="00055BC0"/>
    <w:rsid w:val="00064F7E"/>
    <w:rsid w:val="000665BC"/>
    <w:rsid w:val="00066E06"/>
    <w:rsid w:val="00072D00"/>
    <w:rsid w:val="000744C5"/>
    <w:rsid w:val="00075502"/>
    <w:rsid w:val="00080B44"/>
    <w:rsid w:val="0008679A"/>
    <w:rsid w:val="00095DB2"/>
    <w:rsid w:val="000A003E"/>
    <w:rsid w:val="000A29FA"/>
    <w:rsid w:val="000A3BE5"/>
    <w:rsid w:val="000A7C82"/>
    <w:rsid w:val="000B1295"/>
    <w:rsid w:val="000B4795"/>
    <w:rsid w:val="000B4CA9"/>
    <w:rsid w:val="000B5507"/>
    <w:rsid w:val="000C1219"/>
    <w:rsid w:val="000D376D"/>
    <w:rsid w:val="000D4CA4"/>
    <w:rsid w:val="000E0782"/>
    <w:rsid w:val="000E0BE4"/>
    <w:rsid w:val="000F3EF9"/>
    <w:rsid w:val="00101AC6"/>
    <w:rsid w:val="00117AC7"/>
    <w:rsid w:val="00120D2A"/>
    <w:rsid w:val="001303AC"/>
    <w:rsid w:val="001315D8"/>
    <w:rsid w:val="00133875"/>
    <w:rsid w:val="00135798"/>
    <w:rsid w:val="00140DA9"/>
    <w:rsid w:val="00141B3C"/>
    <w:rsid w:val="00144AD1"/>
    <w:rsid w:val="001529EF"/>
    <w:rsid w:val="00173C54"/>
    <w:rsid w:val="00173EF4"/>
    <w:rsid w:val="00174E85"/>
    <w:rsid w:val="0017775C"/>
    <w:rsid w:val="001A182C"/>
    <w:rsid w:val="001A3412"/>
    <w:rsid w:val="001B3CB8"/>
    <w:rsid w:val="001C4446"/>
    <w:rsid w:val="001D49D0"/>
    <w:rsid w:val="001E2133"/>
    <w:rsid w:val="001E78F3"/>
    <w:rsid w:val="001F016A"/>
    <w:rsid w:val="001F0A45"/>
    <w:rsid w:val="001F2353"/>
    <w:rsid w:val="001F5B8B"/>
    <w:rsid w:val="001F6644"/>
    <w:rsid w:val="002046AD"/>
    <w:rsid w:val="00216B58"/>
    <w:rsid w:val="00221496"/>
    <w:rsid w:val="0022544B"/>
    <w:rsid w:val="00225731"/>
    <w:rsid w:val="002441A2"/>
    <w:rsid w:val="00245F4D"/>
    <w:rsid w:val="002467B3"/>
    <w:rsid w:val="002554B0"/>
    <w:rsid w:val="00255622"/>
    <w:rsid w:val="0025738B"/>
    <w:rsid w:val="002633AB"/>
    <w:rsid w:val="0026367C"/>
    <w:rsid w:val="00264DCF"/>
    <w:rsid w:val="00265777"/>
    <w:rsid w:val="00270A52"/>
    <w:rsid w:val="00270D0B"/>
    <w:rsid w:val="00275D15"/>
    <w:rsid w:val="00276938"/>
    <w:rsid w:val="00280DE9"/>
    <w:rsid w:val="002877FD"/>
    <w:rsid w:val="00291FA0"/>
    <w:rsid w:val="0029716E"/>
    <w:rsid w:val="002974C7"/>
    <w:rsid w:val="002A2154"/>
    <w:rsid w:val="002B1C38"/>
    <w:rsid w:val="002B2662"/>
    <w:rsid w:val="002B2820"/>
    <w:rsid w:val="002C2EC2"/>
    <w:rsid w:val="002C40D4"/>
    <w:rsid w:val="002D05E8"/>
    <w:rsid w:val="002D3487"/>
    <w:rsid w:val="002D55C0"/>
    <w:rsid w:val="002E6CD1"/>
    <w:rsid w:val="002F0BAF"/>
    <w:rsid w:val="002F6A2C"/>
    <w:rsid w:val="00301C18"/>
    <w:rsid w:val="00327A37"/>
    <w:rsid w:val="00332FFF"/>
    <w:rsid w:val="00337276"/>
    <w:rsid w:val="0034199D"/>
    <w:rsid w:val="003463DC"/>
    <w:rsid w:val="00347748"/>
    <w:rsid w:val="0036144E"/>
    <w:rsid w:val="0036388B"/>
    <w:rsid w:val="00363F32"/>
    <w:rsid w:val="00383C09"/>
    <w:rsid w:val="0039138F"/>
    <w:rsid w:val="003959D1"/>
    <w:rsid w:val="003B0859"/>
    <w:rsid w:val="003B49BF"/>
    <w:rsid w:val="003B4B2E"/>
    <w:rsid w:val="003C3F40"/>
    <w:rsid w:val="003D7AFC"/>
    <w:rsid w:val="003E6647"/>
    <w:rsid w:val="003E6F63"/>
    <w:rsid w:val="003F6012"/>
    <w:rsid w:val="004006DA"/>
    <w:rsid w:val="00402837"/>
    <w:rsid w:val="00403359"/>
    <w:rsid w:val="00410FA0"/>
    <w:rsid w:val="00413B77"/>
    <w:rsid w:val="004141AD"/>
    <w:rsid w:val="0041657C"/>
    <w:rsid w:val="004202C4"/>
    <w:rsid w:val="00422E3B"/>
    <w:rsid w:val="00424549"/>
    <w:rsid w:val="00425818"/>
    <w:rsid w:val="00425FC9"/>
    <w:rsid w:val="00430E0E"/>
    <w:rsid w:val="0043101C"/>
    <w:rsid w:val="00434276"/>
    <w:rsid w:val="004500D3"/>
    <w:rsid w:val="00450726"/>
    <w:rsid w:val="00451349"/>
    <w:rsid w:val="004550E4"/>
    <w:rsid w:val="0046057D"/>
    <w:rsid w:val="00463287"/>
    <w:rsid w:val="00463DDB"/>
    <w:rsid w:val="00463FC4"/>
    <w:rsid w:val="0046767F"/>
    <w:rsid w:val="004707EC"/>
    <w:rsid w:val="004734A6"/>
    <w:rsid w:val="004777DF"/>
    <w:rsid w:val="00480F28"/>
    <w:rsid w:val="0049784C"/>
    <w:rsid w:val="004A753A"/>
    <w:rsid w:val="004D0979"/>
    <w:rsid w:val="004E0B76"/>
    <w:rsid w:val="004E1350"/>
    <w:rsid w:val="004E61CD"/>
    <w:rsid w:val="004F0202"/>
    <w:rsid w:val="004F2E1A"/>
    <w:rsid w:val="004F4499"/>
    <w:rsid w:val="004F672C"/>
    <w:rsid w:val="0050120D"/>
    <w:rsid w:val="00505ABB"/>
    <w:rsid w:val="00526B1B"/>
    <w:rsid w:val="0054006C"/>
    <w:rsid w:val="0054034C"/>
    <w:rsid w:val="00545385"/>
    <w:rsid w:val="00553137"/>
    <w:rsid w:val="00557D18"/>
    <w:rsid w:val="00582F69"/>
    <w:rsid w:val="00586610"/>
    <w:rsid w:val="00586E84"/>
    <w:rsid w:val="00591EEA"/>
    <w:rsid w:val="00596E5B"/>
    <w:rsid w:val="005A3371"/>
    <w:rsid w:val="005C64FD"/>
    <w:rsid w:val="005D0883"/>
    <w:rsid w:val="005D19DC"/>
    <w:rsid w:val="005D329E"/>
    <w:rsid w:val="005D529C"/>
    <w:rsid w:val="005E1B85"/>
    <w:rsid w:val="005F295B"/>
    <w:rsid w:val="005F5579"/>
    <w:rsid w:val="005F75E1"/>
    <w:rsid w:val="0060280F"/>
    <w:rsid w:val="00603A16"/>
    <w:rsid w:val="00611358"/>
    <w:rsid w:val="006178BD"/>
    <w:rsid w:val="00617AA6"/>
    <w:rsid w:val="00621168"/>
    <w:rsid w:val="00621D11"/>
    <w:rsid w:val="00644B1D"/>
    <w:rsid w:val="00657C05"/>
    <w:rsid w:val="00660510"/>
    <w:rsid w:val="00661617"/>
    <w:rsid w:val="00671EB1"/>
    <w:rsid w:val="0067210F"/>
    <w:rsid w:val="00674488"/>
    <w:rsid w:val="00681240"/>
    <w:rsid w:val="0068399C"/>
    <w:rsid w:val="00685B83"/>
    <w:rsid w:val="00693CB4"/>
    <w:rsid w:val="00695461"/>
    <w:rsid w:val="00697947"/>
    <w:rsid w:val="006A06F2"/>
    <w:rsid w:val="006A7E9B"/>
    <w:rsid w:val="006C0483"/>
    <w:rsid w:val="006D051C"/>
    <w:rsid w:val="006E7E8C"/>
    <w:rsid w:val="006F2BC0"/>
    <w:rsid w:val="00722B53"/>
    <w:rsid w:val="00730BAB"/>
    <w:rsid w:val="00741D5C"/>
    <w:rsid w:val="00754B5D"/>
    <w:rsid w:val="0075649B"/>
    <w:rsid w:val="00757451"/>
    <w:rsid w:val="00760CCB"/>
    <w:rsid w:val="00767915"/>
    <w:rsid w:val="007717C9"/>
    <w:rsid w:val="00774092"/>
    <w:rsid w:val="007803F7"/>
    <w:rsid w:val="0078328A"/>
    <w:rsid w:val="00787110"/>
    <w:rsid w:val="007A2FCC"/>
    <w:rsid w:val="007A3CFD"/>
    <w:rsid w:val="007C328A"/>
    <w:rsid w:val="007D7C75"/>
    <w:rsid w:val="007E5ADA"/>
    <w:rsid w:val="007F0AE9"/>
    <w:rsid w:val="007F1993"/>
    <w:rsid w:val="007F59E3"/>
    <w:rsid w:val="007F5E09"/>
    <w:rsid w:val="007F6D7F"/>
    <w:rsid w:val="00801F4D"/>
    <w:rsid w:val="008065BA"/>
    <w:rsid w:val="00817D17"/>
    <w:rsid w:val="00822F5C"/>
    <w:rsid w:val="008230E7"/>
    <w:rsid w:val="0082675B"/>
    <w:rsid w:val="0082710D"/>
    <w:rsid w:val="008362C4"/>
    <w:rsid w:val="00845793"/>
    <w:rsid w:val="00845DC4"/>
    <w:rsid w:val="00854005"/>
    <w:rsid w:val="00867EC8"/>
    <w:rsid w:val="00870271"/>
    <w:rsid w:val="00873263"/>
    <w:rsid w:val="008846D3"/>
    <w:rsid w:val="00885EAC"/>
    <w:rsid w:val="00886C2E"/>
    <w:rsid w:val="008A0BFD"/>
    <w:rsid w:val="008A5F25"/>
    <w:rsid w:val="008D0604"/>
    <w:rsid w:val="008D4D0D"/>
    <w:rsid w:val="008E4537"/>
    <w:rsid w:val="008E60B8"/>
    <w:rsid w:val="00906450"/>
    <w:rsid w:val="00913DB6"/>
    <w:rsid w:val="009175F5"/>
    <w:rsid w:val="00920B1F"/>
    <w:rsid w:val="0092188B"/>
    <w:rsid w:val="009237EA"/>
    <w:rsid w:val="00924902"/>
    <w:rsid w:val="00934130"/>
    <w:rsid w:val="009342F8"/>
    <w:rsid w:val="0093615A"/>
    <w:rsid w:val="00937A25"/>
    <w:rsid w:val="009421AC"/>
    <w:rsid w:val="00946620"/>
    <w:rsid w:val="00952331"/>
    <w:rsid w:val="0095369C"/>
    <w:rsid w:val="00966DA2"/>
    <w:rsid w:val="00972BEA"/>
    <w:rsid w:val="009834B5"/>
    <w:rsid w:val="009859A1"/>
    <w:rsid w:val="009B232A"/>
    <w:rsid w:val="009C6CCD"/>
    <w:rsid w:val="009D02DF"/>
    <w:rsid w:val="009D48E1"/>
    <w:rsid w:val="009E4922"/>
    <w:rsid w:val="009F06F1"/>
    <w:rsid w:val="009F374F"/>
    <w:rsid w:val="00A004F7"/>
    <w:rsid w:val="00A051AA"/>
    <w:rsid w:val="00A0593E"/>
    <w:rsid w:val="00A05BEF"/>
    <w:rsid w:val="00A05D85"/>
    <w:rsid w:val="00A07F6A"/>
    <w:rsid w:val="00A17A4F"/>
    <w:rsid w:val="00A21BFF"/>
    <w:rsid w:val="00A3048E"/>
    <w:rsid w:val="00A32BB1"/>
    <w:rsid w:val="00A343A8"/>
    <w:rsid w:val="00A42542"/>
    <w:rsid w:val="00A534B7"/>
    <w:rsid w:val="00A62164"/>
    <w:rsid w:val="00A63E9F"/>
    <w:rsid w:val="00A66378"/>
    <w:rsid w:val="00A70BD6"/>
    <w:rsid w:val="00A73BD9"/>
    <w:rsid w:val="00A7571D"/>
    <w:rsid w:val="00A81341"/>
    <w:rsid w:val="00A91499"/>
    <w:rsid w:val="00A97E25"/>
    <w:rsid w:val="00AA37E6"/>
    <w:rsid w:val="00AB0B77"/>
    <w:rsid w:val="00AB5DB7"/>
    <w:rsid w:val="00AB6C51"/>
    <w:rsid w:val="00AB6E11"/>
    <w:rsid w:val="00AB7BAC"/>
    <w:rsid w:val="00AC07F6"/>
    <w:rsid w:val="00AE01DB"/>
    <w:rsid w:val="00AF31EC"/>
    <w:rsid w:val="00AF4324"/>
    <w:rsid w:val="00AF7E93"/>
    <w:rsid w:val="00B076C7"/>
    <w:rsid w:val="00B114BB"/>
    <w:rsid w:val="00B13FCB"/>
    <w:rsid w:val="00B21C4A"/>
    <w:rsid w:val="00B22015"/>
    <w:rsid w:val="00B237B6"/>
    <w:rsid w:val="00B24312"/>
    <w:rsid w:val="00B27E35"/>
    <w:rsid w:val="00B445A3"/>
    <w:rsid w:val="00B52F9C"/>
    <w:rsid w:val="00B75495"/>
    <w:rsid w:val="00B83E53"/>
    <w:rsid w:val="00B841D7"/>
    <w:rsid w:val="00B9301E"/>
    <w:rsid w:val="00B95302"/>
    <w:rsid w:val="00BA028B"/>
    <w:rsid w:val="00BA55DB"/>
    <w:rsid w:val="00BA68A2"/>
    <w:rsid w:val="00BA7E3C"/>
    <w:rsid w:val="00BE4F0A"/>
    <w:rsid w:val="00BF7FC6"/>
    <w:rsid w:val="00C137BF"/>
    <w:rsid w:val="00C13BBF"/>
    <w:rsid w:val="00C262AD"/>
    <w:rsid w:val="00C26DBA"/>
    <w:rsid w:val="00C273A5"/>
    <w:rsid w:val="00C301EF"/>
    <w:rsid w:val="00C32207"/>
    <w:rsid w:val="00C32B88"/>
    <w:rsid w:val="00C32C33"/>
    <w:rsid w:val="00C33579"/>
    <w:rsid w:val="00C341DE"/>
    <w:rsid w:val="00C37173"/>
    <w:rsid w:val="00C409B1"/>
    <w:rsid w:val="00C40BF8"/>
    <w:rsid w:val="00C421F6"/>
    <w:rsid w:val="00C47BBE"/>
    <w:rsid w:val="00C55D24"/>
    <w:rsid w:val="00C805DF"/>
    <w:rsid w:val="00C835B7"/>
    <w:rsid w:val="00C8594D"/>
    <w:rsid w:val="00C8779E"/>
    <w:rsid w:val="00C87C94"/>
    <w:rsid w:val="00C96CBB"/>
    <w:rsid w:val="00CA1030"/>
    <w:rsid w:val="00CA4A0C"/>
    <w:rsid w:val="00CA4E52"/>
    <w:rsid w:val="00CA7CD8"/>
    <w:rsid w:val="00CB0480"/>
    <w:rsid w:val="00CC7F4E"/>
    <w:rsid w:val="00CF14BC"/>
    <w:rsid w:val="00D11613"/>
    <w:rsid w:val="00D12EC9"/>
    <w:rsid w:val="00D1347A"/>
    <w:rsid w:val="00D14490"/>
    <w:rsid w:val="00D14E8D"/>
    <w:rsid w:val="00D30E85"/>
    <w:rsid w:val="00D471CA"/>
    <w:rsid w:val="00D65038"/>
    <w:rsid w:val="00D70631"/>
    <w:rsid w:val="00D71EE4"/>
    <w:rsid w:val="00D7529B"/>
    <w:rsid w:val="00D87481"/>
    <w:rsid w:val="00DA0BBB"/>
    <w:rsid w:val="00DA40CC"/>
    <w:rsid w:val="00DB0E79"/>
    <w:rsid w:val="00DE4E2C"/>
    <w:rsid w:val="00DE6351"/>
    <w:rsid w:val="00DF1F40"/>
    <w:rsid w:val="00DF510D"/>
    <w:rsid w:val="00DF60B1"/>
    <w:rsid w:val="00DF7E1C"/>
    <w:rsid w:val="00E01A4C"/>
    <w:rsid w:val="00E02755"/>
    <w:rsid w:val="00E04CDB"/>
    <w:rsid w:val="00E155EE"/>
    <w:rsid w:val="00E33EF1"/>
    <w:rsid w:val="00E362C2"/>
    <w:rsid w:val="00E45807"/>
    <w:rsid w:val="00E6243C"/>
    <w:rsid w:val="00E62E96"/>
    <w:rsid w:val="00E76756"/>
    <w:rsid w:val="00E83776"/>
    <w:rsid w:val="00EA4B67"/>
    <w:rsid w:val="00EB6A6C"/>
    <w:rsid w:val="00EC440A"/>
    <w:rsid w:val="00EC60BD"/>
    <w:rsid w:val="00ED5267"/>
    <w:rsid w:val="00EE6C0A"/>
    <w:rsid w:val="00EE75A9"/>
    <w:rsid w:val="00EE79E6"/>
    <w:rsid w:val="00EF34CF"/>
    <w:rsid w:val="00F04B3C"/>
    <w:rsid w:val="00F13D2D"/>
    <w:rsid w:val="00F15F56"/>
    <w:rsid w:val="00F347A3"/>
    <w:rsid w:val="00F3486A"/>
    <w:rsid w:val="00F46FB5"/>
    <w:rsid w:val="00F614BA"/>
    <w:rsid w:val="00F759A5"/>
    <w:rsid w:val="00F83121"/>
    <w:rsid w:val="00FA2D04"/>
    <w:rsid w:val="00FB157B"/>
    <w:rsid w:val="00FC035A"/>
    <w:rsid w:val="00FC24A9"/>
    <w:rsid w:val="00FE009B"/>
    <w:rsid w:val="00FE1E64"/>
    <w:rsid w:val="00FF414C"/>
    <w:rsid w:val="0C9E2AEF"/>
    <w:rsid w:val="39141357"/>
    <w:rsid w:val="3C86C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7F0393"/>
  <w15:chartTrackingRefBased/>
  <w15:docId w15:val="{60DB2B99-0D32-48CA-8DAA-77BE918D5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w:uiPriority="99"/>
    <w:lsdException w:name="List Number"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rsid w:val="000B1295"/>
    <w:pPr>
      <w:keepNext/>
      <w:outlineLvl w:val="0"/>
    </w:pPr>
    <w:rPr>
      <w:rFonts w:cs="Mangal"/>
      <w:b/>
      <w:bCs/>
      <w:sz w:val="22"/>
      <w:szCs w:val="22"/>
      <w:lang w:val="en-GB" w:eastAsia="en-GB" w:bidi="ne-NP"/>
    </w:rPr>
  </w:style>
  <w:style w:type="paragraph" w:styleId="Heading2">
    <w:name w:val="heading 2"/>
    <w:basedOn w:val="Normal"/>
    <w:next w:val="Normal"/>
    <w:qFormat/>
    <w:rsid w:val="000B1295"/>
    <w:pPr>
      <w:keepNext/>
      <w:jc w:val="center"/>
      <w:outlineLvl w:val="1"/>
    </w:pPr>
    <w:rPr>
      <w:rFonts w:cs="Mangal"/>
      <w:b/>
      <w:bCs/>
      <w:sz w:val="22"/>
      <w:szCs w:val="22"/>
      <w:lang w:val="en-GB" w:eastAsia="en-GB" w:bidi="ne-NP"/>
    </w:rPr>
  </w:style>
  <w:style w:type="paragraph" w:styleId="Heading3">
    <w:name w:val="heading 3"/>
    <w:basedOn w:val="Normal"/>
    <w:next w:val="Normal"/>
    <w:link w:val="Heading3Char"/>
    <w:semiHidden/>
    <w:unhideWhenUsed/>
    <w:qFormat/>
    <w:rsid w:val="000E0782"/>
    <w:pPr>
      <w:keepNext/>
      <w:keepLines/>
      <w:spacing w:before="4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qFormat/>
    <w:rsid w:val="000B1295"/>
    <w:pPr>
      <w:keepNext/>
      <w:spacing w:before="240" w:after="60"/>
      <w:outlineLvl w:val="3"/>
    </w:pPr>
    <w:rPr>
      <w:b/>
      <w:bCs/>
      <w:sz w:val="28"/>
      <w:szCs w:val="28"/>
      <w:lang w:val="en-GB" w:eastAsia="en-GB"/>
    </w:rPr>
  </w:style>
  <w:style w:type="paragraph" w:styleId="Heading5">
    <w:name w:val="heading 5"/>
    <w:basedOn w:val="Normal"/>
    <w:next w:val="Normal"/>
    <w:link w:val="Heading5Char"/>
    <w:semiHidden/>
    <w:unhideWhenUsed/>
    <w:qFormat/>
    <w:rsid w:val="000E0782"/>
    <w:pPr>
      <w:keepNext/>
      <w:keepLines/>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semiHidden/>
    <w:unhideWhenUsed/>
    <w:qFormat/>
    <w:rsid w:val="00B237B6"/>
    <w:p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0E0782"/>
    <w:pPr>
      <w:keepNext/>
      <w:keepLines/>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semiHidden/>
    <w:unhideWhenUsed/>
    <w:qFormat/>
    <w:rsid w:val="000E0782"/>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0E078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Normal">
    <w:name w:val="WP_Normal"/>
    <w:basedOn w:val="Normal"/>
    <w:rsid w:val="00363F32"/>
    <w:pPr>
      <w:widowControl w:val="0"/>
    </w:pPr>
    <w:rPr>
      <w:rFonts w:ascii="Monaco" w:hAnsi="Monaco" w:cs="Mangal"/>
      <w:snapToGrid w:val="0"/>
      <w:lang w:val="en-GB" w:bidi="ne-NP"/>
    </w:rPr>
  </w:style>
  <w:style w:type="paragraph" w:styleId="Footer">
    <w:name w:val="footer"/>
    <w:basedOn w:val="Normal"/>
    <w:rsid w:val="00CA4A0C"/>
    <w:pPr>
      <w:widowControl w:val="0"/>
      <w:tabs>
        <w:tab w:val="center" w:pos="4320"/>
        <w:tab w:val="right" w:pos="8640"/>
      </w:tabs>
    </w:pPr>
    <w:rPr>
      <w:rFonts w:ascii="Courier" w:hAnsi="Courier"/>
      <w:snapToGrid w:val="0"/>
      <w:szCs w:val="20"/>
    </w:rPr>
  </w:style>
  <w:style w:type="character" w:styleId="PageNumber">
    <w:name w:val="page number"/>
    <w:basedOn w:val="DefaultParagraphFont"/>
    <w:rsid w:val="00CA4A0C"/>
  </w:style>
  <w:style w:type="paragraph" w:styleId="BodyTextIndent">
    <w:name w:val="Body Text Indent"/>
    <w:basedOn w:val="Normal"/>
    <w:rsid w:val="00CA4A0C"/>
    <w:pPr>
      <w:widowControl w:val="0"/>
      <w:tabs>
        <w:tab w:val="left" w:pos="-1440"/>
        <w:tab w:val="left" w:pos="-1080"/>
        <w:tab w:val="left" w:pos="-720"/>
        <w:tab w:val="left" w:pos="-36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left="6840" w:hanging="5760"/>
      <w:jc w:val="both"/>
    </w:pPr>
    <w:rPr>
      <w:rFonts w:ascii="Arial" w:hAnsi="Arial"/>
      <w:snapToGrid w:val="0"/>
      <w:szCs w:val="20"/>
      <w:lang w:val="en-GB"/>
    </w:rPr>
  </w:style>
  <w:style w:type="paragraph" w:styleId="Header">
    <w:name w:val="header"/>
    <w:basedOn w:val="Normal"/>
    <w:rsid w:val="00CA4A0C"/>
    <w:pPr>
      <w:tabs>
        <w:tab w:val="center" w:pos="4320"/>
        <w:tab w:val="right" w:pos="8640"/>
      </w:tabs>
    </w:pPr>
  </w:style>
  <w:style w:type="paragraph" w:styleId="BalloonText">
    <w:name w:val="Balloon Text"/>
    <w:basedOn w:val="Normal"/>
    <w:link w:val="BalloonTextChar"/>
    <w:rsid w:val="00B237B6"/>
    <w:rPr>
      <w:rFonts w:ascii="Segoe UI" w:hAnsi="Segoe UI" w:cs="Segoe UI"/>
      <w:sz w:val="18"/>
      <w:szCs w:val="18"/>
    </w:rPr>
  </w:style>
  <w:style w:type="character" w:customStyle="1" w:styleId="BalloonTextChar">
    <w:name w:val="Balloon Text Char"/>
    <w:link w:val="BalloonText"/>
    <w:rsid w:val="00B237B6"/>
    <w:rPr>
      <w:rFonts w:ascii="Segoe UI" w:hAnsi="Segoe UI" w:cs="Segoe UI"/>
      <w:sz w:val="18"/>
      <w:szCs w:val="18"/>
      <w:lang w:val="en-US" w:eastAsia="en-US"/>
    </w:rPr>
  </w:style>
  <w:style w:type="paragraph" w:styleId="BodyText3">
    <w:name w:val="Body Text 3"/>
    <w:basedOn w:val="Normal"/>
    <w:link w:val="BodyText3Char"/>
    <w:rsid w:val="00B237B6"/>
    <w:pPr>
      <w:spacing w:after="120"/>
    </w:pPr>
    <w:rPr>
      <w:sz w:val="16"/>
      <w:szCs w:val="16"/>
      <w:lang w:val="en-GB" w:eastAsia="en-GB"/>
    </w:rPr>
  </w:style>
  <w:style w:type="character" w:customStyle="1" w:styleId="BodyText3Char">
    <w:name w:val="Body Text 3 Char"/>
    <w:link w:val="BodyText3"/>
    <w:rsid w:val="00B237B6"/>
    <w:rPr>
      <w:sz w:val="16"/>
      <w:szCs w:val="16"/>
    </w:rPr>
  </w:style>
  <w:style w:type="table" w:styleId="TableGrid">
    <w:name w:val="Table Grid"/>
    <w:basedOn w:val="TableNormal"/>
    <w:uiPriority w:val="59"/>
    <w:rsid w:val="00B23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semiHidden/>
    <w:rsid w:val="00B237B6"/>
    <w:rPr>
      <w:rFonts w:ascii="Calibri" w:eastAsia="Times New Roman" w:hAnsi="Calibri" w:cs="Times New Roman"/>
      <w:b/>
      <w:bCs/>
      <w:sz w:val="22"/>
      <w:szCs w:val="22"/>
      <w:lang w:val="en-US" w:eastAsia="en-US"/>
    </w:rPr>
  </w:style>
  <w:style w:type="paragraph" w:styleId="ListParagraph">
    <w:name w:val="List Paragraph"/>
    <w:basedOn w:val="Normal"/>
    <w:uiPriority w:val="34"/>
    <w:qFormat/>
    <w:rsid w:val="00DA40CC"/>
    <w:pPr>
      <w:ind w:left="720"/>
      <w:contextualSpacing/>
    </w:pPr>
  </w:style>
  <w:style w:type="character" w:styleId="BookTitle">
    <w:name w:val="Book Title"/>
    <w:basedOn w:val="DefaultParagraphFont"/>
    <w:uiPriority w:val="33"/>
    <w:qFormat/>
    <w:rsid w:val="000E0782"/>
    <w:rPr>
      <w:b/>
      <w:bCs/>
      <w:i/>
      <w:iCs/>
      <w:spacing w:val="5"/>
    </w:rPr>
  </w:style>
  <w:style w:type="paragraph" w:styleId="Caption">
    <w:name w:val="caption"/>
    <w:basedOn w:val="Normal"/>
    <w:next w:val="Normal"/>
    <w:semiHidden/>
    <w:unhideWhenUsed/>
    <w:qFormat/>
    <w:rsid w:val="000E0782"/>
    <w:pPr>
      <w:spacing w:after="200"/>
    </w:pPr>
    <w:rPr>
      <w:i/>
      <w:iCs/>
      <w:color w:val="0E2841" w:themeColor="text2"/>
      <w:sz w:val="18"/>
      <w:szCs w:val="18"/>
    </w:rPr>
  </w:style>
  <w:style w:type="character" w:styleId="Emphasis">
    <w:name w:val="Emphasis"/>
    <w:basedOn w:val="DefaultParagraphFont"/>
    <w:qFormat/>
    <w:rsid w:val="000E0782"/>
    <w:rPr>
      <w:i/>
      <w:iCs/>
    </w:rPr>
  </w:style>
  <w:style w:type="character" w:customStyle="1" w:styleId="Heading3Char">
    <w:name w:val="Heading 3 Char"/>
    <w:basedOn w:val="DefaultParagraphFont"/>
    <w:link w:val="Heading3"/>
    <w:semiHidden/>
    <w:rsid w:val="000E0782"/>
    <w:rPr>
      <w:rFonts w:asciiTheme="majorHAnsi" w:eastAsiaTheme="majorEastAsia" w:hAnsiTheme="majorHAnsi" w:cstheme="majorBidi"/>
      <w:color w:val="0A2F40" w:themeColor="accent1" w:themeShade="7F"/>
      <w:sz w:val="24"/>
      <w:szCs w:val="24"/>
      <w:lang w:val="en-US" w:eastAsia="en-US"/>
    </w:rPr>
  </w:style>
  <w:style w:type="character" w:customStyle="1" w:styleId="Heading5Char">
    <w:name w:val="Heading 5 Char"/>
    <w:basedOn w:val="DefaultParagraphFont"/>
    <w:link w:val="Heading5"/>
    <w:semiHidden/>
    <w:rsid w:val="000E0782"/>
    <w:rPr>
      <w:rFonts w:asciiTheme="majorHAnsi" w:eastAsiaTheme="majorEastAsia" w:hAnsiTheme="majorHAnsi" w:cstheme="majorBidi"/>
      <w:color w:val="0F4761" w:themeColor="accent1" w:themeShade="BF"/>
      <w:sz w:val="24"/>
      <w:szCs w:val="24"/>
      <w:lang w:val="en-US" w:eastAsia="en-US"/>
    </w:rPr>
  </w:style>
  <w:style w:type="character" w:customStyle="1" w:styleId="Heading7Char">
    <w:name w:val="Heading 7 Char"/>
    <w:basedOn w:val="DefaultParagraphFont"/>
    <w:link w:val="Heading7"/>
    <w:semiHidden/>
    <w:rsid w:val="000E0782"/>
    <w:rPr>
      <w:rFonts w:asciiTheme="majorHAnsi" w:eastAsiaTheme="majorEastAsia" w:hAnsiTheme="majorHAnsi" w:cstheme="majorBidi"/>
      <w:i/>
      <w:iCs/>
      <w:color w:val="0A2F40" w:themeColor="accent1" w:themeShade="7F"/>
      <w:sz w:val="24"/>
      <w:szCs w:val="24"/>
      <w:lang w:val="en-US" w:eastAsia="en-US"/>
    </w:rPr>
  </w:style>
  <w:style w:type="character" w:customStyle="1" w:styleId="Heading8Char">
    <w:name w:val="Heading 8 Char"/>
    <w:basedOn w:val="DefaultParagraphFont"/>
    <w:link w:val="Heading8"/>
    <w:semiHidden/>
    <w:rsid w:val="000E0782"/>
    <w:rPr>
      <w:rFonts w:asciiTheme="majorHAnsi" w:eastAsiaTheme="majorEastAsia" w:hAnsiTheme="majorHAnsi" w:cstheme="majorBidi"/>
      <w:color w:val="272727" w:themeColor="text1" w:themeTint="D8"/>
      <w:sz w:val="21"/>
      <w:szCs w:val="21"/>
      <w:lang w:val="en-US" w:eastAsia="en-US"/>
    </w:rPr>
  </w:style>
  <w:style w:type="character" w:customStyle="1" w:styleId="Heading9Char">
    <w:name w:val="Heading 9 Char"/>
    <w:basedOn w:val="DefaultParagraphFont"/>
    <w:link w:val="Heading9"/>
    <w:semiHidden/>
    <w:rsid w:val="000E0782"/>
    <w:rPr>
      <w:rFonts w:asciiTheme="majorHAnsi" w:eastAsiaTheme="majorEastAsia" w:hAnsiTheme="majorHAnsi" w:cstheme="majorBidi"/>
      <w:i/>
      <w:iCs/>
      <w:color w:val="272727" w:themeColor="text1" w:themeTint="D8"/>
      <w:sz w:val="21"/>
      <w:szCs w:val="21"/>
      <w:lang w:val="en-US" w:eastAsia="en-US"/>
    </w:rPr>
  </w:style>
  <w:style w:type="character" w:styleId="IntenseEmphasis">
    <w:name w:val="Intense Emphasis"/>
    <w:basedOn w:val="DefaultParagraphFont"/>
    <w:uiPriority w:val="21"/>
    <w:qFormat/>
    <w:rsid w:val="000E0782"/>
    <w:rPr>
      <w:i/>
      <w:iCs/>
      <w:color w:val="156082" w:themeColor="accent1"/>
    </w:rPr>
  </w:style>
  <w:style w:type="paragraph" w:styleId="IntenseQuote">
    <w:name w:val="Intense Quote"/>
    <w:basedOn w:val="Normal"/>
    <w:next w:val="Normal"/>
    <w:link w:val="IntenseQuoteChar"/>
    <w:uiPriority w:val="30"/>
    <w:qFormat/>
    <w:rsid w:val="000E0782"/>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0E0782"/>
    <w:rPr>
      <w:i/>
      <w:iCs/>
      <w:color w:val="156082" w:themeColor="accent1"/>
      <w:sz w:val="24"/>
      <w:szCs w:val="24"/>
      <w:lang w:val="en-US" w:eastAsia="en-US"/>
    </w:rPr>
  </w:style>
  <w:style w:type="character" w:styleId="IntenseReference">
    <w:name w:val="Intense Reference"/>
    <w:basedOn w:val="DefaultParagraphFont"/>
    <w:uiPriority w:val="32"/>
    <w:qFormat/>
    <w:rsid w:val="000E0782"/>
    <w:rPr>
      <w:b/>
      <w:bCs/>
      <w:smallCaps/>
      <w:color w:val="156082" w:themeColor="accent1"/>
      <w:spacing w:val="5"/>
    </w:rPr>
  </w:style>
  <w:style w:type="paragraph" w:styleId="NoSpacing">
    <w:name w:val="No Spacing"/>
    <w:uiPriority w:val="1"/>
    <w:qFormat/>
    <w:rsid w:val="000E0782"/>
    <w:rPr>
      <w:sz w:val="24"/>
      <w:szCs w:val="24"/>
      <w:lang w:val="en-US" w:eastAsia="en-US"/>
    </w:rPr>
  </w:style>
  <w:style w:type="paragraph" w:styleId="Quote">
    <w:name w:val="Quote"/>
    <w:basedOn w:val="Normal"/>
    <w:next w:val="Normal"/>
    <w:link w:val="QuoteChar"/>
    <w:uiPriority w:val="29"/>
    <w:qFormat/>
    <w:rsid w:val="000E078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E0782"/>
    <w:rPr>
      <w:i/>
      <w:iCs/>
      <w:color w:val="404040" w:themeColor="text1" w:themeTint="BF"/>
      <w:sz w:val="24"/>
      <w:szCs w:val="24"/>
      <w:lang w:val="en-US" w:eastAsia="en-US"/>
    </w:rPr>
  </w:style>
  <w:style w:type="character" w:styleId="Strong">
    <w:name w:val="Strong"/>
    <w:basedOn w:val="DefaultParagraphFont"/>
    <w:qFormat/>
    <w:rsid w:val="000E0782"/>
    <w:rPr>
      <w:b/>
      <w:bCs/>
    </w:rPr>
  </w:style>
  <w:style w:type="paragraph" w:styleId="Subtitle">
    <w:name w:val="Subtitle"/>
    <w:basedOn w:val="Normal"/>
    <w:next w:val="Normal"/>
    <w:link w:val="SubtitleChar"/>
    <w:qFormat/>
    <w:rsid w:val="000E078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E0782"/>
    <w:rPr>
      <w:rFonts w:asciiTheme="minorHAnsi" w:eastAsiaTheme="minorEastAsia" w:hAnsiTheme="minorHAnsi" w:cstheme="minorBidi"/>
      <w:color w:val="5A5A5A" w:themeColor="text1" w:themeTint="A5"/>
      <w:spacing w:val="15"/>
      <w:sz w:val="22"/>
      <w:szCs w:val="22"/>
      <w:lang w:val="en-US" w:eastAsia="en-US"/>
    </w:rPr>
  </w:style>
  <w:style w:type="character" w:styleId="SubtleEmphasis">
    <w:name w:val="Subtle Emphasis"/>
    <w:basedOn w:val="DefaultParagraphFont"/>
    <w:uiPriority w:val="19"/>
    <w:qFormat/>
    <w:rsid w:val="000E0782"/>
    <w:rPr>
      <w:i/>
      <w:iCs/>
      <w:color w:val="404040" w:themeColor="text1" w:themeTint="BF"/>
    </w:rPr>
  </w:style>
  <w:style w:type="character" w:styleId="SubtleReference">
    <w:name w:val="Subtle Reference"/>
    <w:basedOn w:val="DefaultParagraphFont"/>
    <w:uiPriority w:val="31"/>
    <w:qFormat/>
    <w:rsid w:val="000E0782"/>
    <w:rPr>
      <w:smallCaps/>
      <w:color w:val="5A5A5A" w:themeColor="text1" w:themeTint="A5"/>
    </w:rPr>
  </w:style>
  <w:style w:type="paragraph" w:styleId="Title">
    <w:name w:val="Title"/>
    <w:basedOn w:val="Normal"/>
    <w:next w:val="Normal"/>
    <w:link w:val="TitleChar"/>
    <w:qFormat/>
    <w:rsid w:val="000E078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E0782"/>
    <w:rPr>
      <w:rFonts w:asciiTheme="majorHAnsi" w:eastAsiaTheme="majorEastAsia" w:hAnsiTheme="majorHAnsi" w:cstheme="majorBidi"/>
      <w:spacing w:val="-10"/>
      <w:kern w:val="28"/>
      <w:sz w:val="56"/>
      <w:szCs w:val="56"/>
      <w:lang w:val="en-US" w:eastAsia="en-US"/>
    </w:rPr>
  </w:style>
  <w:style w:type="paragraph" w:styleId="TOCHeading">
    <w:name w:val="TOC Heading"/>
    <w:basedOn w:val="Heading1"/>
    <w:next w:val="Normal"/>
    <w:uiPriority w:val="39"/>
    <w:semiHidden/>
    <w:unhideWhenUsed/>
    <w:qFormat/>
    <w:rsid w:val="000E0782"/>
    <w:pPr>
      <w:keepLines/>
      <w:spacing w:before="240"/>
      <w:outlineLvl w:val="9"/>
    </w:pPr>
    <w:rPr>
      <w:rFonts w:asciiTheme="majorHAnsi" w:eastAsiaTheme="majorEastAsia" w:hAnsiTheme="majorHAnsi" w:cstheme="majorBidi"/>
      <w:b w:val="0"/>
      <w:bCs w:val="0"/>
      <w:color w:val="0F4761" w:themeColor="accent1" w:themeShade="BF"/>
      <w:sz w:val="32"/>
      <w:szCs w:val="32"/>
      <w:lang w:val="en-US" w:eastAsia="en-US" w:bidi="ar-SA"/>
    </w:rPr>
  </w:style>
  <w:style w:type="paragraph" w:styleId="ListBullet">
    <w:name w:val="List Bullet"/>
    <w:basedOn w:val="Normal"/>
    <w:uiPriority w:val="99"/>
    <w:unhideWhenUsed/>
    <w:rsid w:val="00245F4D"/>
    <w:pPr>
      <w:numPr>
        <w:numId w:val="23"/>
      </w:numPr>
      <w:tabs>
        <w:tab w:val="clear" w:pos="360"/>
      </w:tabs>
      <w:spacing w:after="200" w:line="276" w:lineRule="auto"/>
      <w:contextualSpacing/>
    </w:pPr>
    <w:rPr>
      <w:rFonts w:ascii="Aptos" w:eastAsiaTheme="minorEastAsia" w:hAnsi="Aptos" w:cstheme="minorBidi"/>
      <w:sz w:val="21"/>
      <w:szCs w:val="22"/>
    </w:rPr>
  </w:style>
  <w:style w:type="paragraph" w:styleId="ListNumber">
    <w:name w:val="List Number"/>
    <w:basedOn w:val="Normal"/>
    <w:uiPriority w:val="99"/>
    <w:unhideWhenUsed/>
    <w:rsid w:val="002D55C0"/>
    <w:pPr>
      <w:numPr>
        <w:numId w:val="24"/>
      </w:numPr>
      <w:tabs>
        <w:tab w:val="clear" w:pos="360"/>
      </w:tabs>
      <w:spacing w:after="200" w:line="276" w:lineRule="auto"/>
      <w:ind w:left="0" w:firstLine="0"/>
      <w:contextualSpacing/>
    </w:pPr>
    <w:rPr>
      <w:rFonts w:ascii="Aptos" w:eastAsiaTheme="minorEastAsia" w:hAnsi="Aptos" w:cstheme="minorBid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632390DBD0B04DB43DFD559CDF512A" ma:contentTypeVersion="14" ma:contentTypeDescription="Create a new document." ma:contentTypeScope="" ma:versionID="96a9f87f627293fa896faeeba7de8b64">
  <xsd:schema xmlns:xsd="http://www.w3.org/2001/XMLSchema" xmlns:xs="http://www.w3.org/2001/XMLSchema" xmlns:p="http://schemas.microsoft.com/office/2006/metadata/properties" xmlns:ns2="57a5220a-05a8-4b64-a563-b92d320320ac" xmlns:ns3="795082ec-b35d-497a-88ce-7d33ed1e4d5c" targetNamespace="http://schemas.microsoft.com/office/2006/metadata/properties" ma:root="true" ma:fieldsID="a35d8fb743015f4132de66cab33531dd" ns2:_="" ns3:_="">
    <xsd:import namespace="57a5220a-05a8-4b64-a563-b92d320320ac"/>
    <xsd:import namespace="795082ec-b35d-497a-88ce-7d33ed1e4d5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5220a-05a8-4b64-a563-b92d320320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dc97030-c6e5-493b-b245-25ea86818106}" ma:internalName="TaxCatchAll" ma:showField="CatchAllData" ma:web="57a5220a-05a8-4b64-a563-b92d320320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95082ec-b35d-497a-88ce-7d33ed1e4d5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f322350-0d2a-439d-b835-ea99249e5fb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5082ec-b35d-497a-88ce-7d33ed1e4d5c">
      <Terms xmlns="http://schemas.microsoft.com/office/infopath/2007/PartnerControls"/>
    </lcf76f155ced4ddcb4097134ff3c332f>
    <TaxCatchAll xmlns="57a5220a-05a8-4b64-a563-b92d320320ac"/>
  </documentManagement>
</p:properties>
</file>

<file path=customXml/itemProps1.xml><?xml version="1.0" encoding="utf-8"?>
<ds:datastoreItem xmlns:ds="http://schemas.openxmlformats.org/officeDocument/2006/customXml" ds:itemID="{B3420FE8-C643-4112-95F5-5FBD3C999C47}">
  <ds:schemaRefs>
    <ds:schemaRef ds:uri="http://schemas.microsoft.com/sharepoint/v3/contenttype/forms"/>
  </ds:schemaRefs>
</ds:datastoreItem>
</file>

<file path=customXml/itemProps2.xml><?xml version="1.0" encoding="utf-8"?>
<ds:datastoreItem xmlns:ds="http://schemas.openxmlformats.org/officeDocument/2006/customXml" ds:itemID="{BCA90EB7-2C50-43DC-9357-49821C2E64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5220a-05a8-4b64-a563-b92d320320ac"/>
    <ds:schemaRef ds:uri="795082ec-b35d-497a-88ce-7d33ed1e4d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6A372D-313C-49C3-91F3-D30BF6269DC2}">
  <ds:schemaRefs>
    <ds:schemaRef ds:uri="http://schemas.openxmlformats.org/officeDocument/2006/bibliography"/>
  </ds:schemaRefs>
</ds:datastoreItem>
</file>

<file path=customXml/itemProps4.xml><?xml version="1.0" encoding="utf-8"?>
<ds:datastoreItem xmlns:ds="http://schemas.openxmlformats.org/officeDocument/2006/customXml" ds:itemID="{90797F1A-20D1-4E94-BCDA-BDB6074951FA}">
  <ds:schemaRefs>
    <ds:schemaRef ds:uri="http://schemas.microsoft.com/office/2006/metadata/properties"/>
    <ds:schemaRef ds:uri="http://schemas.microsoft.com/office/infopath/2007/PartnerControls"/>
    <ds:schemaRef ds:uri="795082ec-b35d-497a-88ce-7d33ed1e4d5c"/>
    <ds:schemaRef ds:uri="57a5220a-05a8-4b64-a563-b92d320320a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2462</Words>
  <Characters>14040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ANGUS HOUSING ASSOCIATION LIMITED</vt:lpstr>
    </vt:vector>
  </TitlesOfParts>
  <Company>Angus Housing Association</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ANGUS HOUSING ASSOCIATION LIMITED</dc:title>
  <dc:subject/>
  <dc:creator>linlay</dc:creator>
  <cp:keywords/>
  <cp:lastModifiedBy>Linlay Anderson</cp:lastModifiedBy>
  <cp:revision>2</cp:revision>
  <cp:lastPrinted>2025-01-15T17:36:00Z</cp:lastPrinted>
  <dcterms:created xsi:type="dcterms:W3CDTF">2026-09-03T11:23:00Z</dcterms:created>
  <dcterms:modified xsi:type="dcterms:W3CDTF">2026-09-03T11:23:00Z</dcterms:modified>
</cp:coreProperties>
</file>